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8" w:space="1" w:color="B08A3E"/>
        </w:pBdr>
        <w:spacing w:before="0" w:after="0"/>
      </w:pPr>
      <w:r>
        <w:rPr>
          <w:rFonts w:ascii="Calibri" w:hAnsi="Calibri"/>
          <w:b w:val="0"/>
          <w:i w:val="0"/>
          <w:sz w:val="2"/>
        </w:rPr>
        <w:t xml:space="preserve"> </w:t>
      </w:r>
    </w:p>
    <w:p>
      <w:pPr>
        <w:spacing w:before="280" w:after="80" w:line="307" w:lineRule="auto"/>
      </w:pPr>
      <w:r>
        <w:rPr>
          <w:rFonts w:ascii="Calibri" w:hAnsi="Calibri"/>
          <w:b/>
          <w:i w:val="0"/>
          <w:color w:val="B08A3E"/>
          <w:spacing w:val="64"/>
          <w:sz w:val="18"/>
        </w:rPr>
        <w:t>ENGAGEMENT PROPOSAL</w:t>
      </w:r>
    </w:p>
    <w:p>
      <w:pPr>
        <w:spacing w:before="0" w:after="40" w:line="307" w:lineRule="auto"/>
      </w:pPr>
      <w:r>
        <w:rPr>
          <w:rFonts w:ascii="Calibri" w:hAnsi="Calibri"/>
          <w:b/>
          <w:i w:val="0"/>
          <w:color w:val="1B3A2F"/>
          <w:spacing w:val="20"/>
          <w:sz w:val="22"/>
        </w:rPr>
        <w:t>Baay Projects Limited</w:t>
      </w:r>
    </w:p>
    <w:p>
      <w:pPr>
        <w:spacing w:before="0" w:after="520" w:line="307" w:lineRule="auto"/>
      </w:pPr>
      <w:r>
        <w:rPr>
          <w:rFonts w:ascii="Calibri" w:hAnsi="Calibri"/>
          <w:b w:val="0"/>
          <w:i w:val="0"/>
          <w:color w:val="8A8A8A"/>
          <w:sz w:val="17"/>
        </w:rPr>
        <w:t>RC 1526224   |   Lagos, Nigeria</w:t>
      </w:r>
    </w:p>
    <w:p>
      <w:pPr>
        <w:spacing w:before="0" w:after="0" w:line="240" w:lineRule="auto"/>
      </w:pPr>
      <w:r>
        <w:rPr>
          <w:rFonts w:ascii="Georgia" w:hAnsi="Georgia"/>
          <w:b/>
          <w:i w:val="0"/>
          <w:color w:val="1B3A2F"/>
          <w:sz w:val="80"/>
        </w:rPr>
        <w:t>From Spreadsheet</w:t>
      </w:r>
    </w:p>
    <w:p>
      <w:pPr>
        <w:spacing w:before="0" w:after="280" w:line="240" w:lineRule="auto"/>
      </w:pPr>
      <w:r>
        <w:rPr>
          <w:rFonts w:ascii="Georgia" w:hAnsi="Georgia"/>
          <w:b/>
          <w:i w:val="0"/>
          <w:color w:val="B08A3E"/>
          <w:sz w:val="80"/>
        </w:rPr>
        <w:t>to System.</w:t>
      </w:r>
    </w:p>
    <w:p>
      <w:pPr>
        <w:spacing w:before="0" w:after="160" w:line="317" w:lineRule="auto"/>
      </w:pPr>
      <w:r>
        <w:rPr>
          <w:rFonts w:ascii="Georgia" w:hAnsi="Georgia"/>
          <w:b w:val="0"/>
          <w:i/>
          <w:color w:val="5C5C5C"/>
          <w:sz w:val="26"/>
        </w:rPr>
        <w:t>A live, integrated accounting platform on Zoho Books — and a tax function that files on time, every time.</w:t>
      </w:r>
    </w:p>
    <w:p>
      <w:pPr>
        <w:spacing w:before="0" w:after="600" w:line="324" w:lineRule="auto"/>
      </w:pPr>
      <w:r>
        <w:rPr>
          <w:rFonts w:ascii="Calibri" w:hAnsi="Calibri"/>
          <w:b w:val="0"/>
          <w:i w:val="0"/>
          <w:color w:val="8A8A8A"/>
          <w:sz w:val="20"/>
        </w:rPr>
        <w:t>Prepared for the Board of Directors of Baay Projects Limited: a company that has grown its revenue 13-fold in three years, and now needs books that can keep up.</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3099"/>
        <w:gridCol w:w="3099"/>
        <w:gridCol w:w="3099"/>
      </w:tblGrid>
      <w:tr>
        <w:tc>
          <w:tcPr>
            <w:tcW w:type="dxa" w:w="3099"/>
            <w:shd w:val="clear" w:color="auto" w:fill="F6F3EC"/>
            <w:tcMar>
              <w:top w:w="190" w:type="dxa"/>
              <w:left w:w="170" w:type="dxa"/>
              <w:bottom w:w="190" w:type="dxa"/>
              <w:right w:w="170" w:type="dxa"/>
            </w:tcMar>
          </w:tcPr>
          <w:p>
            <w:pPr>
              <w:spacing w:before="0" w:after="60"/>
            </w:pPr>
            <w:r>
              <w:rPr>
                <w:rFonts w:ascii="Calibri" w:hAnsi="Calibri"/>
                <w:b/>
                <w:i w:val="0"/>
                <w:color w:val="B08A3E"/>
                <w:spacing w:val="22"/>
                <w:sz w:val="14"/>
              </w:rPr>
              <w:t>INTEGRATED ACCOUNTING</w:t>
            </w:r>
          </w:p>
          <w:p>
            <w:pPr>
              <w:spacing w:before="0" w:after="40"/>
            </w:pPr>
            <w:r>
              <w:rPr>
                <w:rFonts w:ascii="Georgia" w:hAnsi="Georgia"/>
                <w:b/>
                <w:i w:val="0"/>
                <w:color w:val="1B3A2F"/>
                <w:sz w:val="34"/>
              </w:rPr>
              <w:t>₦2.5m</w:t>
            </w:r>
          </w:p>
          <w:p>
            <w:pPr>
              <w:spacing w:before="0" w:after="0" w:line="252" w:lineRule="auto"/>
            </w:pPr>
            <w:r>
              <w:rPr>
                <w:rFonts w:ascii="Calibri" w:hAnsi="Calibri"/>
                <w:b w:val="0"/>
                <w:i w:val="0"/>
                <w:color w:val="8A8A8A"/>
                <w:sz w:val="14"/>
              </w:rPr>
              <w:t>Zoho Books setup, fixed fee</w:t>
            </w:r>
          </w:p>
        </w:tc>
        <w:tc>
          <w:tcPr>
            <w:tcW w:type="dxa" w:w="3099"/>
            <w:shd w:val="clear" w:color="auto" w:fill="1B3A2F"/>
            <w:tcMar>
              <w:top w:w="190" w:type="dxa"/>
              <w:left w:w="170" w:type="dxa"/>
              <w:bottom w:w="190" w:type="dxa"/>
              <w:right w:w="170" w:type="dxa"/>
            </w:tcMar>
          </w:tcPr>
          <w:p>
            <w:pPr>
              <w:spacing w:before="0" w:after="60"/>
            </w:pPr>
            <w:r>
              <w:rPr>
                <w:rFonts w:ascii="Calibri" w:hAnsi="Calibri"/>
                <w:b/>
                <w:i w:val="0"/>
                <w:color w:val="C9A75E"/>
                <w:spacing w:val="22"/>
                <w:sz w:val="14"/>
              </w:rPr>
              <w:t>TAX COMPLIANCE</w:t>
            </w:r>
          </w:p>
          <w:p>
            <w:pPr>
              <w:spacing w:before="0" w:after="40"/>
            </w:pPr>
            <w:r>
              <w:rPr>
                <w:rFonts w:ascii="Georgia" w:hAnsi="Georgia"/>
                <w:b/>
                <w:i w:val="0"/>
                <w:color w:val="FFFFFF"/>
                <w:sz w:val="34"/>
              </w:rPr>
              <w:t>From ₦250k</w:t>
            </w:r>
          </w:p>
          <w:p>
            <w:pPr>
              <w:spacing w:before="0" w:after="0" w:line="252" w:lineRule="auto"/>
            </w:pPr>
            <w:r>
              <w:rPr>
                <w:rFonts w:ascii="Calibri" w:hAnsi="Calibri"/>
                <w:b w:val="0"/>
                <w:i w:val="0"/>
                <w:color w:val="D8E0DA"/>
                <w:sz w:val="14"/>
              </w:rPr>
              <w:t>per month, VAT-exclusive</w:t>
            </w:r>
          </w:p>
        </w:tc>
        <w:tc>
          <w:tcPr>
            <w:tcW w:type="dxa" w:w="3099"/>
            <w:shd w:val="clear" w:color="auto" w:fill="F6F3EC"/>
            <w:tcMar>
              <w:top w:w="190" w:type="dxa"/>
              <w:left w:w="170" w:type="dxa"/>
              <w:bottom w:w="190" w:type="dxa"/>
              <w:right w:w="170" w:type="dxa"/>
            </w:tcMar>
          </w:tcPr>
          <w:p>
            <w:pPr>
              <w:spacing w:before="0" w:after="60"/>
            </w:pPr>
            <w:r>
              <w:rPr>
                <w:rFonts w:ascii="Calibri" w:hAnsi="Calibri"/>
                <w:b/>
                <w:i w:val="0"/>
                <w:color w:val="B08A3E"/>
                <w:spacing w:val="22"/>
                <w:sz w:val="14"/>
              </w:rPr>
              <w:t>GO-LIVE</w:t>
            </w:r>
          </w:p>
          <w:p>
            <w:pPr>
              <w:spacing w:before="0" w:after="40"/>
            </w:pPr>
            <w:r>
              <w:rPr>
                <w:rFonts w:ascii="Georgia" w:hAnsi="Georgia"/>
                <w:b/>
                <w:i w:val="0"/>
                <w:color w:val="1B3A2F"/>
                <w:sz w:val="34"/>
              </w:rPr>
              <w:t>8 weeks</w:t>
            </w:r>
          </w:p>
          <w:p>
            <w:pPr>
              <w:spacing w:before="0" w:after="0" w:line="252" w:lineRule="auto"/>
            </w:pPr>
            <w:r>
              <w:rPr>
                <w:rFonts w:ascii="Calibri" w:hAnsi="Calibri"/>
                <w:b w:val="0"/>
                <w:i w:val="0"/>
                <w:color w:val="8A8A8A"/>
                <w:sz w:val="14"/>
              </w:rPr>
              <w:t>First close, 5 working days</w:t>
            </w:r>
          </w:p>
        </w:tc>
      </w:tr>
    </w:tbl>
    <w:p>
      <w:pPr>
        <w:spacing w:before="3300" w:after="60" w:line="307" w:lineRule="auto"/>
      </w:pPr>
      <w:r>
        <w:rPr>
          <w:rFonts w:ascii="Calibri" w:hAnsi="Calibri"/>
          <w:b/>
          <w:i w:val="0"/>
          <w:color w:val="B08A3E"/>
          <w:spacing w:val="36"/>
          <w:sz w:val="14"/>
        </w:rPr>
        <w:t>SUBMITTED BY</w:t>
      </w:r>
    </w:p>
    <w:p>
      <w:pPr>
        <w:spacing w:before="0" w:after="20" w:line="307" w:lineRule="auto"/>
      </w:pPr>
      <w:r>
        <w:rPr>
          <w:rFonts w:ascii="Calibri" w:hAnsi="Calibri"/>
          <w:b/>
          <w:i w:val="0"/>
          <w:color w:val="1B3A2F"/>
          <w:sz w:val="19"/>
        </w:rPr>
        <w:t>[Firm Name]  ·  Chartered Accountants &amp; Tax Advisers</w:t>
      </w:r>
    </w:p>
    <w:p>
      <w:pPr>
        <w:spacing w:before="0" w:after="0" w:line="307" w:lineRule="auto"/>
      </w:pPr>
      <w:r>
        <w:rPr>
          <w:rFonts w:ascii="Calibri" w:hAnsi="Calibri"/>
          <w:b w:val="0"/>
          <w:i w:val="0"/>
          <w:color w:val="8A8A8A"/>
          <w:sz w:val="17"/>
        </w:rPr>
        <w:t>[Engagement Partner]  ·  [email address]  ·  [phone number]</w:t>
      </w:r>
    </w:p>
    <w:p>
      <w:pPr>
        <w:spacing w:before="240" w:after="0" w:line="307" w:lineRule="auto"/>
      </w:pPr>
      <w:r>
        <w:rPr>
          <w:rFonts w:ascii="Calibri" w:hAnsi="Calibri"/>
          <w:b w:val="0"/>
          <w:i w:val="0"/>
          <w:color w:val="8A8A8A"/>
          <w:sz w:val="17"/>
        </w:rPr>
        <w:t>20 October 2026   ·   Proposal valid until 19 November 2026</w:t>
      </w:r>
    </w:p>
    <w:p>
      <w:r>
        <w:br w:type="page"/>
      </w:r>
    </w:p>
    <w:p>
      <w:pPr>
        <w:keepNext/>
        <w:pBdr>
          <w:bottom w:val="single" w:sz="8" w:space="4" w:color="B08A3E"/>
        </w:pBdr>
        <w:spacing w:before="0" w:after="180"/>
      </w:pPr>
      <w:r>
        <w:rPr>
          <w:rFonts w:ascii="Calibri" w:hAnsi="Calibri"/>
          <w:b/>
          <w:i w:val="0"/>
          <w:color w:val="B08A3E"/>
          <w:spacing w:val="24"/>
          <w:sz w:val="18"/>
        </w:rPr>
        <w:t xml:space="preserve">01   </w:t>
      </w:r>
      <w:r>
        <w:rPr>
          <w:rFonts w:ascii="Georgia" w:hAnsi="Georgia"/>
          <w:b/>
          <w:i w:val="0"/>
          <w:color w:val="1B3A2F"/>
          <w:spacing w:val="12"/>
          <w:sz w:val="27"/>
        </w:rPr>
        <w:t>A LETTER TO THE BOARD</w:t>
      </w:r>
    </w:p>
    <w:p>
      <w:pPr>
        <w:spacing w:before="40" w:after="160" w:line="307" w:lineRule="auto"/>
      </w:pPr>
      <w:r>
        <w:rPr>
          <w:rFonts w:ascii="Calibri" w:hAnsi="Calibri"/>
          <w:b w:val="0"/>
          <w:i w:val="0"/>
          <w:color w:val="1B3A2F"/>
          <w:sz w:val="21"/>
        </w:rPr>
        <w:t>Dear Directors,</w:t>
      </w:r>
    </w:p>
    <w:p>
      <w:pPr>
        <w:spacing w:before="0" w:after="160" w:line="307" w:lineRule="auto"/>
      </w:pPr>
      <w:r>
        <w:rPr>
          <w:rFonts w:ascii="Calibri" w:hAnsi="Calibri"/>
          <w:b w:val="0"/>
          <w:i w:val="0"/>
          <w:color w:val="5C5C5C"/>
          <w:sz w:val="21"/>
        </w:rPr>
        <w:t>In 2022, Baay Projects Limited turned over ₦8.5 million. By 2025, the company had reported ₦112.5 million — a 13-fold increase in three years — with 219 subscribers across nine estates, a portfolio contract value of ₦4.03 billion and ₦774.6 million still owed by clients. Very few Nigerian property companies of your age have grown that fast, that cleanly.</w:t>
      </w:r>
    </w:p>
    <w:p>
      <w:pPr>
        <w:spacing w:before="0" w:after="160" w:line="307" w:lineRule="auto"/>
      </w:pPr>
      <w:r>
        <w:rPr>
          <w:rFonts w:ascii="Calibri" w:hAnsi="Calibri"/>
          <w:b w:val="0"/>
          <w:i w:val="0"/>
          <w:color w:val="5C5C5C"/>
          <w:sz w:val="21"/>
        </w:rPr>
        <w:t>We know this because we have walked every line of your 2023–2025 master workbook: all 36 tabs, the four bank accounts, the project register, the IFRS 15 workings, the tax computations. The work is thorough, and it tells a success story. It also tells an uncomfortable one.</w:t>
      </w:r>
    </w:p>
    <w:tbl>
      <w:tblPr>
        <w:tblW w:w="9298" w:type="dxa"/>
        <w:jc w:val="center"/>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left w:val="single" w:sz="24" w:space="0" w:color="B08A3E"/>
              <w:top w:val="nil"/>
              <w:bottom w:val="nil"/>
              <w:right w:val="nil"/>
            </w:tcBorders>
            <w:shd w:val="clear" w:color="auto" w:fill="F6F3EC"/>
            <w:tcMar>
              <w:top w:w="170" w:type="dxa"/>
              <w:left w:w="230" w:type="dxa"/>
              <w:bottom w:w="170" w:type="dxa"/>
              <w:right w:w="230" w:type="dxa"/>
            </w:tcMar>
          </w:tcPr>
          <w:p>
            <w:pPr>
              <w:spacing w:before="0" w:after="40" w:line="269" w:lineRule="auto"/>
            </w:pPr>
            <w:r>
              <w:rPr>
                <w:rFonts w:ascii="Calibri" w:hAnsi="Calibri"/>
                <w:b/>
                <w:i w:val="0"/>
                <w:color w:val="B08A3E"/>
                <w:spacing w:val="26"/>
                <w:sz w:val="15"/>
              </w:rPr>
              <w:t>THE UNCOMFORTABLE TRUTH</w:t>
            </w:r>
          </w:p>
          <w:p>
            <w:pPr>
              <w:spacing w:before="0" w:after="0" w:line="293" w:lineRule="auto"/>
            </w:pPr>
            <w:r>
              <w:rPr>
                <w:rFonts w:ascii="Calibri" w:hAnsi="Calibri"/>
                <w:b w:val="0"/>
                <w:i w:val="0"/>
                <w:color w:val="5C5C5C"/>
                <w:sz w:val="20"/>
              </w:rPr>
              <w:t>Your 2025 receipts had to be reconstructed from Google Drive turnover sheets and realtor commission registers. One bank account’s statements were rebuilt from the ledgers. The year’s cash book is, in the workbook’s own words, “a list for testing against bank statements, not a complete cash book.” That is not a competence problem. It is a tools problem — and at ₦112.5 million in revenue, it is an expensive one.</w:t>
            </w:r>
          </w:p>
        </w:tc>
      </w:tr>
    </w:tbl>
    <w:p>
      <w:pPr>
        <w:spacing w:before="0" w:after="0" w:line="240" w:lineRule="auto"/>
      </w:pPr>
      <w:r>
        <w:rPr>
          <w:rFonts w:ascii="Calibri" w:hAnsi="Calibri"/>
          <w:b w:val="0"/>
          <w:i w:val="0"/>
          <w:sz w:val="16"/>
        </w:rPr>
      </w:r>
    </w:p>
    <w:p>
      <w:pPr>
        <w:spacing w:before="0" w:after="120" w:line="307" w:lineRule="auto"/>
      </w:pPr>
      <w:r>
        <w:rPr>
          <w:rFonts w:ascii="Calibri" w:hAnsi="Calibri"/>
          <w:b w:val="0"/>
          <w:i w:val="0"/>
          <w:color w:val="5C5C5C"/>
          <w:sz w:val="21"/>
        </w:rPr>
        <w:t>This proposal fixes it in two connected moves.</w:t>
      </w:r>
    </w:p>
    <w:p>
      <w:pPr>
        <w:spacing w:before="0" w:after="100" w:line="307" w:lineRule="auto"/>
      </w:pPr>
      <w:r>
        <w:rPr>
          <w:rFonts w:ascii="Calibri" w:hAnsi="Calibri"/>
          <w:b/>
          <w:i w:val="0"/>
          <w:color w:val="1B3A2F"/>
          <w:sz w:val="21"/>
        </w:rPr>
        <w:t xml:space="preserve">First, </w:t>
      </w:r>
      <w:r>
        <w:rPr>
          <w:rFonts w:ascii="Calibri" w:hAnsi="Calibri"/>
          <w:b w:val="0"/>
          <w:i w:val="0"/>
          <w:color w:val="5C5C5C"/>
          <w:sz w:val="21"/>
        </w:rPr>
        <w:t>we put a live, integrated accounting system on Zoho Books under the business, with your chart of accounts, projects, tax codes and opening balances built from the same workbook your auditors rely on. Fixed fee: ₦2,500,000. Go-live in eight weeks.</w:t>
      </w:r>
    </w:p>
    <w:p>
      <w:pPr>
        <w:spacing w:before="0" w:after="200" w:line="307" w:lineRule="auto"/>
      </w:pPr>
      <w:r>
        <w:rPr>
          <w:rFonts w:ascii="Calibri" w:hAnsi="Calibri"/>
          <w:b/>
          <w:i w:val="0"/>
          <w:color w:val="1B3A2F"/>
          <w:sz w:val="21"/>
        </w:rPr>
        <w:t xml:space="preserve">Second, </w:t>
      </w:r>
      <w:r>
        <w:rPr>
          <w:rFonts w:ascii="Calibri" w:hAnsi="Calibri"/>
          <w:b w:val="0"/>
          <w:i w:val="0"/>
          <w:color w:val="5C5C5C"/>
          <w:sz w:val="21"/>
        </w:rPr>
        <w:t>we take tax off your desk — VAT on the 21st, WHT on the 21st, PAYE on the 10th, CIT and TET by 30 June — on a fixed monthly retainer, with a health check of the 2023–2025 filings in the first 90 days.</w:t>
      </w:r>
    </w:p>
    <w:p>
      <w:pPr>
        <w:spacing w:before="0" w:after="280" w:line="307" w:lineRule="auto"/>
      </w:pPr>
      <w:r>
        <w:rPr>
          <w:rFonts w:ascii="Calibri" w:hAnsi="Calibri"/>
          <w:b w:val="0"/>
          <w:i w:val="0"/>
          <w:color w:val="5C5C5C"/>
          <w:sz w:val="21"/>
        </w:rPr>
        <w:t>One decision, taken now, means your 2027 board pack is produced by the system rather than assembled by hand — and no tax deadline is met by guesswork again.</w:t>
      </w:r>
    </w:p>
    <w:p>
      <w:pPr>
        <w:spacing w:before="80" w:after="360" w:line="307" w:lineRule="auto"/>
      </w:pPr>
      <w:r>
        <w:rPr>
          <w:rFonts w:ascii="Calibri" w:hAnsi="Calibri"/>
          <w:b w:val="0"/>
          <w:i w:val="0"/>
          <w:color w:val="5C5C5C"/>
          <w:sz w:val="21"/>
        </w:rPr>
        <w:t>Yours faithfully,</w:t>
      </w:r>
    </w:p>
    <w:p>
      <w:pPr>
        <w:spacing w:before="0" w:after="0" w:line="307" w:lineRule="auto"/>
      </w:pPr>
      <w:r>
        <w:rPr>
          <w:rFonts w:ascii="Calibri" w:hAnsi="Calibri"/>
          <w:b/>
          <w:i w:val="0"/>
          <w:color w:val="1B3A2F"/>
          <w:sz w:val="20"/>
        </w:rPr>
        <w:t>[Name]</w:t>
      </w:r>
    </w:p>
    <w:p>
      <w:pPr>
        <w:spacing w:before="0" w:after="0" w:line="307" w:lineRule="auto"/>
      </w:pPr>
      <w:r>
        <w:rPr>
          <w:rFonts w:ascii="Calibri" w:hAnsi="Calibri"/>
          <w:b w:val="0"/>
          <w:i w:val="0"/>
          <w:color w:val="8A8A8A"/>
          <w:sz w:val="17"/>
        </w:rPr>
        <w:t>Partner, [Firm Name]</w:t>
      </w:r>
    </w:p>
    <w:p>
      <w:pPr>
        <w:spacing w:before="0" w:after="0" w:line="307" w:lineRule="auto"/>
      </w:pPr>
      <w:r>
        <w:rPr>
          <w:rFonts w:ascii="Calibri" w:hAnsi="Calibri"/>
          <w:b w:val="0"/>
          <w:i w:val="0"/>
          <w:color w:val="8A8A8A"/>
          <w:sz w:val="17"/>
        </w:rPr>
        <w:t>For and on behalf of the engagement team</w:t>
      </w:r>
    </w:p>
    <w:p>
      <w:pPr>
        <w:spacing w:before="0" w:after="0" w:line="240" w:lineRule="auto"/>
      </w:pPr>
      <w:r>
        <w:rPr>
          <w:rFonts w:ascii="Calibri" w:hAnsi="Calibri"/>
          <w:b w:val="0"/>
          <w:i w:val="0"/>
          <w:sz w:val="24"/>
        </w:rPr>
      </w:r>
    </w:p>
    <w:p>
      <w:pPr>
        <w:pBdr>
          <w:bottom w:val="single" w:sz="6" w:space="1" w:color="D9D3C6"/>
        </w:pBdr>
        <w:spacing w:before="0" w:after="120" w:line="307" w:lineRule="auto"/>
      </w:pPr>
    </w:p>
    <w:p>
      <w:pPr>
        <w:spacing w:before="0" w:after="0" w:line="307" w:lineRule="auto"/>
      </w:pPr>
      <w:r>
        <w:rPr>
          <w:rFonts w:ascii="Calibri" w:hAnsi="Calibri"/>
          <w:b/>
          <w:i w:val="0"/>
          <w:color w:val="B08A3E"/>
          <w:sz w:val="18"/>
        </w:rPr>
        <w:t xml:space="preserve">P.S. </w:t>
      </w:r>
      <w:r>
        <w:rPr>
          <w:rFonts w:ascii="Calibri" w:hAnsi="Calibri"/>
          <w:b w:val="0"/>
          <w:i/>
          <w:color w:val="5C5C5C"/>
          <w:sz w:val="18"/>
        </w:rPr>
        <w:t>More than 90% of what we need to configure your system is already in the master workbook — the chart of accounts, the project register, the tax codes, the opening balances. All that is missing is the decision to use it.</w:t>
      </w:r>
    </w:p>
    <w:p>
      <w:r>
        <w:br w:type="page"/>
      </w:r>
    </w:p>
    <w:p>
      <w:pPr>
        <w:keepNext/>
        <w:pBdr>
          <w:bottom w:val="single" w:sz="8" w:space="4" w:color="B08A3E"/>
        </w:pBdr>
        <w:spacing w:before="0" w:after="180"/>
      </w:pPr>
      <w:r>
        <w:rPr>
          <w:rFonts w:ascii="Calibri" w:hAnsi="Calibri"/>
          <w:b/>
          <w:i w:val="0"/>
          <w:color w:val="B08A3E"/>
          <w:spacing w:val="24"/>
          <w:sz w:val="18"/>
        </w:rPr>
        <w:t xml:space="preserve">02   </w:t>
      </w:r>
      <w:r>
        <w:rPr>
          <w:rFonts w:ascii="Georgia" w:hAnsi="Georgia"/>
          <w:b/>
          <w:i w:val="0"/>
          <w:color w:val="1B3A2F"/>
          <w:spacing w:val="12"/>
          <w:sz w:val="27"/>
        </w:rPr>
        <w:t>THE BAAY WE HAVE STUDIED</w:t>
      </w:r>
    </w:p>
    <w:p>
      <w:pPr>
        <w:spacing w:before="0" w:after="200" w:line="307" w:lineRule="auto"/>
      </w:pPr>
      <w:r>
        <w:rPr>
          <w:rFonts w:ascii="Calibri" w:hAnsi="Calibri"/>
          <w:b w:val="0"/>
          <w:i w:val="0"/>
          <w:color w:val="5C5C5C"/>
          <w:sz w:val="21"/>
        </w:rPr>
        <w:t>We have not written this proposal from a template. The figures below are taken from your audited 2023–2025 financial statements and the master workbook, and they shape every recommendation that follows.</w:t>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2205"/>
        <w:gridCol w:w="159"/>
        <w:gridCol w:w="2205"/>
        <w:gridCol w:w="159"/>
        <w:gridCol w:w="2205"/>
        <w:gridCol w:w="159"/>
        <w:gridCol w:w="2205"/>
      </w:tblGrid>
      <w:tr>
        <w:tc>
          <w:tcPr>
            <w:tcW w:type="dxa" w:w="2205"/>
            <w:shd w:val="clear" w:color="auto" w:fill="F6F3EC"/>
            <w:tcMar>
              <w:top w:w="150" w:type="dxa"/>
              <w:left w:w="40" w:type="dxa"/>
              <w:bottom w:w="150" w:type="dxa"/>
              <w:right w:w="40" w:type="dxa"/>
            </w:tcMar>
          </w:tcPr>
          <w:p>
            <w:pPr>
              <w:spacing w:before="0" w:after="20"/>
              <w:jc w:val="center"/>
            </w:pPr>
            <w:r>
              <w:rPr>
                <w:rFonts w:ascii="Georgia" w:hAnsi="Georgia"/>
                <w:b/>
                <w:i w:val="0"/>
                <w:color w:val="1B3A2F"/>
                <w:sz w:val="29"/>
              </w:rPr>
              <w:t>₦112.5m</w:t>
            </w:r>
          </w:p>
          <w:p>
            <w:pPr>
              <w:spacing w:before="0" w:after="0" w:line="252" w:lineRule="auto"/>
              <w:jc w:val="center"/>
            </w:pPr>
            <w:r>
              <w:rPr>
                <w:rFonts w:ascii="Calibri" w:hAnsi="Calibri"/>
                <w:b/>
                <w:i w:val="0"/>
                <w:caps/>
                <w:color w:val="B08A3E"/>
                <w:spacing w:val="12"/>
                <w:sz w:val="14"/>
              </w:rPr>
              <w:t>FY2025 revenue</w:t>
            </w:r>
          </w:p>
        </w:tc>
        <w:tc>
          <w:tcPr>
            <w:tcW w:type="dxa" w:w="159"/>
          </w:tcPr>
          <w:p/>
        </w:tc>
        <w:tc>
          <w:tcPr>
            <w:tcW w:type="dxa" w:w="2205"/>
            <w:shd w:val="clear" w:color="auto" w:fill="F6F3EC"/>
            <w:tcMar>
              <w:top w:w="150" w:type="dxa"/>
              <w:left w:w="40" w:type="dxa"/>
              <w:bottom w:w="150" w:type="dxa"/>
              <w:right w:w="40" w:type="dxa"/>
            </w:tcMar>
          </w:tcPr>
          <w:p>
            <w:pPr>
              <w:spacing w:before="0" w:after="20"/>
              <w:jc w:val="center"/>
            </w:pPr>
            <w:r>
              <w:rPr>
                <w:rFonts w:ascii="Georgia" w:hAnsi="Georgia"/>
                <w:b/>
                <w:i w:val="0"/>
                <w:color w:val="1B3A2F"/>
                <w:sz w:val="29"/>
              </w:rPr>
              <w:t>13.2×</w:t>
            </w:r>
          </w:p>
          <w:p>
            <w:pPr>
              <w:spacing w:before="0" w:after="0" w:line="252" w:lineRule="auto"/>
              <w:jc w:val="center"/>
            </w:pPr>
            <w:r>
              <w:rPr>
                <w:rFonts w:ascii="Calibri" w:hAnsi="Calibri"/>
                <w:b/>
                <w:i w:val="0"/>
                <w:caps/>
                <w:color w:val="B08A3E"/>
                <w:spacing w:val="12"/>
                <w:sz w:val="14"/>
              </w:rPr>
              <w:t>Growth since 2022</w:t>
            </w:r>
          </w:p>
        </w:tc>
        <w:tc>
          <w:tcPr>
            <w:tcW w:type="dxa" w:w="159"/>
          </w:tcPr>
          <w:p/>
        </w:tc>
        <w:tc>
          <w:tcPr>
            <w:tcW w:type="dxa" w:w="2205"/>
            <w:shd w:val="clear" w:color="auto" w:fill="F6F3EC"/>
            <w:tcMar>
              <w:top w:w="150" w:type="dxa"/>
              <w:left w:w="40" w:type="dxa"/>
              <w:bottom w:w="150" w:type="dxa"/>
              <w:right w:w="40" w:type="dxa"/>
            </w:tcMar>
          </w:tcPr>
          <w:p>
            <w:pPr>
              <w:spacing w:before="0" w:after="20"/>
              <w:jc w:val="center"/>
            </w:pPr>
            <w:r>
              <w:rPr>
                <w:rFonts w:ascii="Georgia" w:hAnsi="Georgia"/>
                <w:b/>
                <w:i w:val="0"/>
                <w:color w:val="1B3A2F"/>
                <w:sz w:val="29"/>
              </w:rPr>
              <w:t>219</w:t>
            </w:r>
          </w:p>
          <w:p>
            <w:pPr>
              <w:spacing w:before="0" w:after="0" w:line="252" w:lineRule="auto"/>
              <w:jc w:val="center"/>
            </w:pPr>
            <w:r>
              <w:rPr>
                <w:rFonts w:ascii="Calibri" w:hAnsi="Calibri"/>
                <w:b/>
                <w:i w:val="0"/>
                <w:caps/>
                <w:color w:val="B08A3E"/>
                <w:spacing w:val="12"/>
                <w:sz w:val="14"/>
              </w:rPr>
              <w:t>Subscribers</w:t>
            </w:r>
          </w:p>
        </w:tc>
        <w:tc>
          <w:tcPr>
            <w:tcW w:type="dxa" w:w="159"/>
          </w:tcPr>
          <w:p/>
        </w:tc>
        <w:tc>
          <w:tcPr>
            <w:tcW w:type="dxa" w:w="2205"/>
            <w:shd w:val="clear" w:color="auto" w:fill="F6F3EC"/>
            <w:tcMar>
              <w:top w:w="150" w:type="dxa"/>
              <w:left w:w="40" w:type="dxa"/>
              <w:bottom w:w="150" w:type="dxa"/>
              <w:right w:w="40" w:type="dxa"/>
            </w:tcMar>
          </w:tcPr>
          <w:p>
            <w:pPr>
              <w:spacing w:before="0" w:after="20"/>
              <w:jc w:val="center"/>
            </w:pPr>
            <w:r>
              <w:rPr>
                <w:rFonts w:ascii="Georgia" w:hAnsi="Georgia"/>
                <w:b/>
                <w:i w:val="0"/>
                <w:color w:val="1B3A2F"/>
                <w:sz w:val="29"/>
              </w:rPr>
              <w:t>₦4.03bn</w:t>
            </w:r>
          </w:p>
          <w:p>
            <w:pPr>
              <w:spacing w:before="0" w:after="0" w:line="252" w:lineRule="auto"/>
              <w:jc w:val="center"/>
            </w:pPr>
            <w:r>
              <w:rPr>
                <w:rFonts w:ascii="Calibri" w:hAnsi="Calibri"/>
                <w:b/>
                <w:i w:val="0"/>
                <w:caps/>
                <w:color w:val="B08A3E"/>
                <w:spacing w:val="12"/>
                <w:sz w:val="14"/>
              </w:rPr>
              <w:t>Portfolio value</w:t>
            </w:r>
          </w:p>
        </w:tc>
      </w:tr>
    </w:tbl>
    <w:p>
      <w:pPr>
        <w:spacing w:before="0" w:after="0" w:line="240" w:lineRule="auto"/>
      </w:pPr>
      <w:r>
        <w:rPr>
          <w:rFonts w:ascii="Calibri" w:hAnsi="Calibri"/>
          <w:b w:val="0"/>
          <w:i w:val="0"/>
          <w:sz w:val="16"/>
        </w:rPr>
      </w:r>
    </w:p>
    <w:tbl>
      <w:tblPr>
        <w:tblW w:w="9297" w:type="dxa"/>
        <w:jc w:val="center"/>
        <w:tblBorders>
          <w:top w:val="nil"/>
          <w:left w:val="nil"/>
          <w:bottom w:val="nil"/>
          <w:right w:val="nil"/>
          <w:insideH w:val="nil"/>
          <w:insideV w:val="nil"/>
        </w:tblBorders>
        <w:tblLayout w:type="fixed"/>
        <w:tblLook w:firstColumn="1" w:firstRow="1" w:lastColumn="0" w:lastRow="0" w:noHBand="0" w:noVBand="1" w:val="04A0"/>
      </w:tblPr>
      <w:tblGrid>
        <w:gridCol w:w="2205"/>
        <w:gridCol w:w="159"/>
        <w:gridCol w:w="2205"/>
        <w:gridCol w:w="159"/>
        <w:gridCol w:w="2205"/>
        <w:gridCol w:w="159"/>
        <w:gridCol w:w="2205"/>
      </w:tblGrid>
      <w:tr>
        <w:tc>
          <w:tcPr>
            <w:tcW w:type="dxa" w:w="2205"/>
            <w:shd w:val="clear" w:color="auto" w:fill="F6F3EC"/>
            <w:tcMar>
              <w:top w:w="150" w:type="dxa"/>
              <w:left w:w="40" w:type="dxa"/>
              <w:bottom w:w="150" w:type="dxa"/>
              <w:right w:w="40" w:type="dxa"/>
            </w:tcMar>
          </w:tcPr>
          <w:p>
            <w:pPr>
              <w:spacing w:before="0" w:after="20"/>
              <w:jc w:val="center"/>
            </w:pPr>
            <w:r>
              <w:rPr>
                <w:rFonts w:ascii="Georgia" w:hAnsi="Georgia"/>
                <w:b/>
                <w:i w:val="0"/>
                <w:color w:val="1B3A2F"/>
                <w:sz w:val="29"/>
              </w:rPr>
              <w:t>₦22.6m</w:t>
            </w:r>
          </w:p>
          <w:p>
            <w:pPr>
              <w:spacing w:before="0" w:after="0" w:line="252" w:lineRule="auto"/>
              <w:jc w:val="center"/>
            </w:pPr>
            <w:r>
              <w:rPr>
                <w:rFonts w:ascii="Calibri" w:hAnsi="Calibri"/>
                <w:b/>
                <w:i w:val="0"/>
                <w:caps/>
                <w:color w:val="B08A3E"/>
                <w:spacing w:val="12"/>
                <w:sz w:val="14"/>
              </w:rPr>
              <w:t>FY2025 PBT</w:t>
            </w:r>
          </w:p>
        </w:tc>
        <w:tc>
          <w:tcPr>
            <w:tcW w:type="dxa" w:w="159"/>
          </w:tcPr>
          <w:p/>
        </w:tc>
        <w:tc>
          <w:tcPr>
            <w:tcW w:type="dxa" w:w="2205"/>
            <w:shd w:val="clear" w:color="auto" w:fill="F6F3EC"/>
            <w:tcMar>
              <w:top w:w="150" w:type="dxa"/>
              <w:left w:w="40" w:type="dxa"/>
              <w:bottom w:w="150" w:type="dxa"/>
              <w:right w:w="40" w:type="dxa"/>
            </w:tcMar>
          </w:tcPr>
          <w:p>
            <w:pPr>
              <w:spacing w:before="0" w:after="20"/>
              <w:jc w:val="center"/>
            </w:pPr>
            <w:r>
              <w:rPr>
                <w:rFonts w:ascii="Georgia" w:hAnsi="Georgia"/>
                <w:b/>
                <w:i w:val="0"/>
                <w:color w:val="1B3A2F"/>
                <w:sz w:val="29"/>
              </w:rPr>
              <w:t>₦5.4m</w:t>
            </w:r>
          </w:p>
          <w:p>
            <w:pPr>
              <w:spacing w:before="0" w:after="0" w:line="252" w:lineRule="auto"/>
              <w:jc w:val="center"/>
            </w:pPr>
            <w:r>
              <w:rPr>
                <w:rFonts w:ascii="Calibri" w:hAnsi="Calibri"/>
                <w:b/>
                <w:i w:val="0"/>
                <w:caps/>
                <w:color w:val="B08A3E"/>
                <w:spacing w:val="12"/>
                <w:sz w:val="14"/>
              </w:rPr>
              <w:t>Tax liability</w:t>
            </w:r>
          </w:p>
        </w:tc>
        <w:tc>
          <w:tcPr>
            <w:tcW w:type="dxa" w:w="159"/>
          </w:tcPr>
          <w:p/>
        </w:tc>
        <w:tc>
          <w:tcPr>
            <w:tcW w:type="dxa" w:w="2205"/>
            <w:shd w:val="clear" w:color="auto" w:fill="F6F3EC"/>
            <w:tcMar>
              <w:top w:w="150" w:type="dxa"/>
              <w:left w:w="40" w:type="dxa"/>
              <w:bottom w:w="150" w:type="dxa"/>
              <w:right w:w="40" w:type="dxa"/>
            </w:tcMar>
          </w:tcPr>
          <w:p>
            <w:pPr>
              <w:spacing w:before="0" w:after="20"/>
              <w:jc w:val="center"/>
            </w:pPr>
            <w:r>
              <w:rPr>
                <w:rFonts w:ascii="Georgia" w:hAnsi="Georgia"/>
                <w:b/>
                <w:i w:val="0"/>
                <w:color w:val="1B3A2F"/>
                <w:sz w:val="29"/>
              </w:rPr>
              <w:t>4</w:t>
            </w:r>
          </w:p>
          <w:p>
            <w:pPr>
              <w:spacing w:before="0" w:after="0" w:line="252" w:lineRule="auto"/>
              <w:jc w:val="center"/>
            </w:pPr>
            <w:r>
              <w:rPr>
                <w:rFonts w:ascii="Calibri" w:hAnsi="Calibri"/>
                <w:b/>
                <w:i w:val="0"/>
                <w:caps/>
                <w:color w:val="B08A3E"/>
                <w:spacing w:val="12"/>
                <w:sz w:val="14"/>
              </w:rPr>
              <w:t>Bank accounts</w:t>
            </w:r>
          </w:p>
        </w:tc>
        <w:tc>
          <w:tcPr>
            <w:tcW w:type="dxa" w:w="159"/>
          </w:tcPr>
          <w:p/>
        </w:tc>
        <w:tc>
          <w:tcPr>
            <w:tcW w:type="dxa" w:w="2205"/>
            <w:shd w:val="clear" w:color="auto" w:fill="F6F3EC"/>
            <w:tcMar>
              <w:top w:w="150" w:type="dxa"/>
              <w:left w:w="40" w:type="dxa"/>
              <w:bottom w:w="150" w:type="dxa"/>
              <w:right w:w="40" w:type="dxa"/>
            </w:tcMar>
          </w:tcPr>
          <w:p>
            <w:pPr>
              <w:spacing w:before="0" w:after="20"/>
              <w:jc w:val="center"/>
            </w:pPr>
            <w:r>
              <w:rPr>
                <w:rFonts w:ascii="Georgia" w:hAnsi="Georgia"/>
                <w:b/>
                <w:i w:val="0"/>
                <w:color w:val="1B3A2F"/>
                <w:sz w:val="29"/>
              </w:rPr>
              <w:t>₦774.6m</w:t>
            </w:r>
          </w:p>
          <w:p>
            <w:pPr>
              <w:spacing w:before="0" w:after="0" w:line="252" w:lineRule="auto"/>
              <w:jc w:val="center"/>
            </w:pPr>
            <w:r>
              <w:rPr>
                <w:rFonts w:ascii="Calibri" w:hAnsi="Calibri"/>
                <w:b/>
                <w:i w:val="0"/>
                <w:caps/>
                <w:color w:val="B08A3E"/>
                <w:spacing w:val="12"/>
                <w:sz w:val="14"/>
              </w:rPr>
              <w:t>Client balances</w:t>
            </w:r>
          </w:p>
        </w:tc>
      </w:tr>
    </w:tbl>
    <w:p>
      <w:pPr>
        <w:spacing w:before="0" w:after="0" w:line="240" w:lineRule="auto"/>
      </w:pPr>
      <w:r>
        <w:rPr>
          <w:rFonts w:ascii="Calibri" w:hAnsi="Calibri"/>
          <w:b w:val="0"/>
          <w:i w:val="0"/>
          <w:sz w:val="16"/>
        </w:rPr>
      </w:r>
    </w:p>
    <w:p>
      <w:pPr>
        <w:keepNext/>
        <w:spacing w:before="120" w:after="60"/>
      </w:pPr>
      <w:r>
        <w:rPr>
          <w:rFonts w:ascii="Calibri" w:hAnsi="Calibri"/>
          <w:b/>
          <w:i w:val="0"/>
          <w:color w:val="1B3A2F"/>
          <w:sz w:val="21"/>
        </w:rPr>
        <w:t>Three things the numbers are telling you</w:t>
      </w:r>
    </w:p>
    <w:p>
      <w:pPr>
        <w:tabs>
          <w:tab w:pos="408" w:val="left"/>
        </w:tabs>
        <w:spacing w:before="0" w:after="160" w:line="302" w:lineRule="auto"/>
        <w:ind w:left="408" w:hanging="318"/>
      </w:pPr>
      <w:r>
        <w:rPr>
          <w:rFonts w:ascii="Georgia" w:hAnsi="Georgia"/>
          <w:b/>
          <w:i w:val="0"/>
          <w:color w:val="B08A3E"/>
          <w:sz w:val="22"/>
        </w:rPr>
        <w:t>1</w:t>
        <w:tab/>
      </w:r>
      <w:r>
        <w:rPr>
          <w:rFonts w:ascii="Calibri" w:hAnsi="Calibri"/>
          <w:b/>
          <w:i w:val="0"/>
          <w:color w:val="1B3A2F"/>
          <w:sz w:val="21"/>
        </w:rPr>
        <w:t xml:space="preserve">Your books are audit-ready, but not decision-ready. </w:t>
      </w:r>
      <w:r>
        <w:rPr>
          <w:rFonts w:ascii="Calibri" w:hAnsi="Calibri"/>
          <w:b w:val="0"/>
          <w:i w:val="0"/>
          <w:color w:val="5C5C5C"/>
          <w:sz w:val="21"/>
        </w:rPr>
        <w:t>The 36-tab workbook is genuinely good work — 12 mandatory checks, all passing. But it is a photograph, not a dashboard. By the time it is finished, the decisions it should have informed have already been made. Gross margin has held at 35.3%, yet nobody can tell you today which of the nine estates is actually making that margin, plot by plot.</w:t>
      </w:r>
    </w:p>
    <w:p>
      <w:pPr>
        <w:tabs>
          <w:tab w:pos="408" w:val="left"/>
        </w:tabs>
        <w:spacing w:before="0" w:after="160" w:line="302" w:lineRule="auto"/>
        <w:ind w:left="408" w:hanging="318"/>
      </w:pPr>
      <w:r>
        <w:rPr>
          <w:rFonts w:ascii="Georgia" w:hAnsi="Georgia"/>
          <w:b/>
          <w:i w:val="0"/>
          <w:color w:val="B08A3E"/>
          <w:sz w:val="22"/>
        </w:rPr>
        <w:t>2</w:t>
        <w:tab/>
      </w:r>
      <w:r>
        <w:rPr>
          <w:rFonts w:ascii="Calibri" w:hAnsi="Calibri"/>
          <w:b/>
          <w:i w:val="0"/>
          <w:color w:val="1B3A2F"/>
          <w:sz w:val="21"/>
        </w:rPr>
        <w:t xml:space="preserve">You crossed ₦100 million — and your tax profile changed with it. </w:t>
      </w:r>
      <w:r>
        <w:rPr>
          <w:rFonts w:ascii="Calibri" w:hAnsi="Calibri"/>
          <w:b w:val="0"/>
          <w:i w:val="0"/>
          <w:color w:val="5C5C5C"/>
          <w:sz w:val="21"/>
        </w:rPr>
        <w:t>2025 turnover of ₦112.5 million moved Baay from a 20% medium company to a 30% large company, and switched on the NASENI levy at 0.25% of profit. The 2025 tax charge was ₦7.7 million, with ₦5.4 million still outstanding at year-end. That is no longer a June filing exercise; it is a monthly cash-flow discipline.</w:t>
      </w:r>
    </w:p>
    <w:p>
      <w:pPr>
        <w:tabs>
          <w:tab w:pos="408" w:val="left"/>
        </w:tabs>
        <w:spacing w:before="0" w:after="200" w:line="302" w:lineRule="auto"/>
        <w:ind w:left="408" w:hanging="318"/>
      </w:pPr>
      <w:r>
        <w:rPr>
          <w:rFonts w:ascii="Georgia" w:hAnsi="Georgia"/>
          <w:b/>
          <w:i w:val="0"/>
          <w:color w:val="B08A3E"/>
          <w:sz w:val="22"/>
        </w:rPr>
        <w:t>3</w:t>
        <w:tab/>
      </w:r>
      <w:r>
        <w:rPr>
          <w:rFonts w:ascii="Calibri" w:hAnsi="Calibri"/>
          <w:b/>
          <w:i w:val="0"/>
          <w:color w:val="1B3A2F"/>
          <w:sz w:val="21"/>
        </w:rPr>
        <w:t xml:space="preserve">Delay is quietly taxing your cash. </w:t>
      </w:r>
      <w:r>
        <w:rPr>
          <w:rFonts w:ascii="Calibri" w:hAnsi="Calibri"/>
          <w:b w:val="0"/>
          <w:i w:val="0"/>
          <w:color w:val="5C5C5C"/>
          <w:sz w:val="21"/>
        </w:rPr>
        <w:t>At least ₦1.3 million of withholding tax credits from clients is sitting unclaimed against future CIT. Land sales are VAT-exempt but construction and consultancy are not, and the two are being invoiced from the same account. Add ₦774.6 million of outstanding subscriber balances with no automated dunning, and the leak is bigger than the professional fee to fix it.</w:t>
      </w:r>
    </w:p>
    <w:tbl>
      <w:tblPr>
        <w:tblW w:w="9298" w:type="dxa"/>
        <w:jc w:val="center"/>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left w:val="single" w:sz="24" w:space="0" w:color="B08A3E"/>
              <w:top w:val="nil"/>
              <w:bottom w:val="nil"/>
              <w:right w:val="nil"/>
            </w:tcBorders>
            <w:shd w:val="clear" w:color="auto" w:fill="F6F3EC"/>
            <w:tcMar>
              <w:top w:w="170" w:type="dxa"/>
              <w:left w:w="230" w:type="dxa"/>
              <w:bottom w:w="170" w:type="dxa"/>
              <w:right w:w="230" w:type="dxa"/>
            </w:tcMar>
          </w:tcPr>
          <w:p>
            <w:pPr>
              <w:spacing w:before="0" w:after="40" w:line="269" w:lineRule="auto"/>
            </w:pPr>
            <w:r>
              <w:rPr>
                <w:rFonts w:ascii="Calibri" w:hAnsi="Calibri"/>
                <w:b/>
                <w:i w:val="0"/>
                <w:color w:val="B08A3E"/>
                <w:spacing w:val="26"/>
                <w:sz w:val="15"/>
              </w:rPr>
              <w:t>WHAT WE ARE NOT PROPOSING</w:t>
            </w:r>
          </w:p>
          <w:p>
            <w:pPr>
              <w:spacing w:before="0" w:after="0" w:line="293" w:lineRule="auto"/>
            </w:pPr>
            <w:r>
              <w:rPr>
                <w:rFonts w:ascii="Calibri" w:hAnsi="Calibri"/>
                <w:b w:val="0"/>
                <w:i w:val="0"/>
                <w:color w:val="5C5C5C"/>
                <w:sz w:val="20"/>
              </w:rPr>
              <w:t>A rip-and-replace ERP. A twelve-month transformation. A new auditor. We are proposing a right-sized system your accountant can actually run, and a tax function that keeps FIRS and LIRS at arm’s length.</w:t>
            </w:r>
          </w:p>
        </w:tc>
      </w:tr>
    </w:tbl>
    <w:p>
      <w:pPr>
        <w:spacing w:before="0" w:after="0" w:line="240" w:lineRule="auto"/>
      </w:pPr>
      <w:r>
        <w:rPr>
          <w:rFonts w:ascii="Calibri" w:hAnsi="Calibri"/>
          <w:b w:val="0"/>
          <w:i w:val="0"/>
          <w:sz w:val="16"/>
        </w:rPr>
      </w:r>
    </w:p>
    <w:p>
      <w:r>
        <w:br w:type="page"/>
      </w:r>
    </w:p>
    <w:tbl>
      <w:tblPr>
        <w:tblW w:w="9298" w:type="dxa"/>
        <w:jc w:val="center"/>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shd w:val="clear" w:color="auto" w:fill="1B3A2F"/>
            <w:tcMar>
              <w:top w:w="260" w:type="dxa"/>
              <w:left w:w="300" w:type="dxa"/>
              <w:bottom w:w="260" w:type="dxa"/>
              <w:right w:w="300" w:type="dxa"/>
            </w:tcMar>
          </w:tcPr>
          <w:p>
            <w:pPr>
              <w:spacing w:before="0" w:after="60"/>
            </w:pPr>
            <w:r>
              <w:rPr>
                <w:rFonts w:ascii="Calibri" w:hAnsi="Calibri"/>
                <w:b/>
                <w:i w:val="0"/>
                <w:color w:val="C9A75E"/>
                <w:spacing w:val="36"/>
                <w:sz w:val="15"/>
              </w:rPr>
              <w:t>03  ·  SERVICE ONE</w:t>
            </w:r>
          </w:p>
          <w:p>
            <w:pPr>
              <w:spacing w:before="0" w:after="40" w:line="252" w:lineRule="auto"/>
            </w:pPr>
            <w:r>
              <w:rPr>
                <w:rFonts w:ascii="Georgia" w:hAnsi="Georgia"/>
                <w:b/>
                <w:i w:val="0"/>
                <w:color w:val="FFFFFF"/>
                <w:sz w:val="34"/>
              </w:rPr>
              <w:t>An integrated accounting system on Zoho Books</w:t>
            </w:r>
          </w:p>
          <w:p>
            <w:pPr>
              <w:spacing w:before="0" w:after="0" w:line="283" w:lineRule="auto"/>
            </w:pPr>
            <w:r>
              <w:rPr>
                <w:rFonts w:ascii="Calibri" w:hAnsi="Calibri"/>
                <w:b w:val="0"/>
                <w:i/>
                <w:color w:val="D8E0DA"/>
                <w:sz w:val="18"/>
              </w:rPr>
              <w:t>One source of truth for sales, cash, projects and tax — built on the same chart of accounts your auditors already know.</w:t>
            </w:r>
          </w:p>
        </w:tc>
      </w:tr>
    </w:tbl>
    <w:p>
      <w:pPr>
        <w:spacing w:before="0" w:after="0" w:line="240" w:lineRule="auto"/>
      </w:pPr>
      <w:r>
        <w:rPr>
          <w:rFonts w:ascii="Calibri" w:hAnsi="Calibri"/>
          <w:b w:val="0"/>
          <w:i w:val="0"/>
          <w:sz w:val="16"/>
        </w:rPr>
      </w:r>
    </w:p>
    <w:p>
      <w:pPr>
        <w:spacing w:before="0" w:after="160" w:line="307" w:lineRule="auto"/>
      </w:pPr>
      <w:r>
        <w:rPr>
          <w:rFonts w:ascii="Calibri" w:hAnsi="Calibri"/>
          <w:b w:val="0"/>
          <w:i w:val="0"/>
          <w:color w:val="5C5C5C"/>
          <w:sz w:val="21"/>
        </w:rPr>
        <w:t>Baay does not have an accounting problem; it has an accounting “somewhere else” problem. Sales sit in a client register, receipts in turnover sheets, commissions in a live Google Sheet, bank statements in four separate portals, and the audited position in a spreadsheet model. Zoho Books replaces that with one ledger, updated daily, that produces the audit file as a by-product of doing the work.</w:t>
      </w:r>
    </w:p>
    <w:p>
      <w:pPr>
        <w:keepNext/>
        <w:spacing w:before="80" w:after="60"/>
      </w:pPr>
      <w:r>
        <w:rPr>
          <w:rFonts w:ascii="Calibri" w:hAnsi="Calibri"/>
          <w:b/>
          <w:i w:val="0"/>
          <w:color w:val="1B3A2F"/>
          <w:sz w:val="21"/>
        </w:rPr>
        <w:t>What we will configure</w:t>
      </w:r>
    </w:p>
    <w:tbl>
      <w:tblPr>
        <w:tblW w:w="9298" w:type="dxa"/>
        <w:jc w:val="center"/>
        <w:tblBorders>
          <w:top w:val="single" w:sz="4" w:space="0" w:color="D9D3C6"/>
          <w:left w:val="single" w:sz="4" w:space="0" w:color="D9D3C6"/>
          <w:bottom w:val="single" w:sz="4" w:space="0" w:color="D9D3C6"/>
          <w:right w:val="single" w:sz="4" w:space="0" w:color="D9D3C6"/>
          <w:insideH w:val="single" w:sz="4" w:space="0" w:color="D9D3C6"/>
          <w:insideV w:val="single" w:sz="4" w:space="0" w:color="D9D3C6"/>
        </w:tblBorders>
        <w:tblLayout w:type="fixed"/>
        <w:tblLook w:firstColumn="1" w:firstRow="1" w:lastColumn="0" w:lastRow="0" w:noHBand="0" w:noVBand="1" w:val="04A0"/>
      </w:tblPr>
      <w:tblGrid>
        <w:gridCol w:w="2381"/>
        <w:gridCol w:w="6917"/>
      </w:tblGrid>
      <w:tr>
        <w:trPr>
          <w:tblHeader w:val="true"/>
        </w:trPr>
        <w:tc>
          <w:tcPr>
            <w:tcW w:type="dxa" w:w="2381"/>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AREA</w:t>
            </w:r>
          </w:p>
        </w:tc>
        <w:tc>
          <w:tcPr>
            <w:tcW w:type="dxa" w:w="6917"/>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WHAT GOES IN</w:t>
            </w:r>
          </w:p>
        </w:tc>
      </w:tr>
      <w:tr>
        <w:trPr>
          <w:cantSplit w:val="true"/>
        </w:trPr>
        <w:tc>
          <w:tcPr>
            <w:tcW w:type="dxa" w:w="2381"/>
            <w:tcMar>
              <w:top w:w="80" w:type="dxa"/>
              <w:left w:w="110" w:type="dxa"/>
              <w:bottom w:w="80" w:type="dxa"/>
              <w:right w:w="110" w:type="dxa"/>
            </w:tcMar>
            <w:vAlign w:val="center"/>
          </w:tcPr>
          <w:p>
            <w:pPr>
              <w:spacing w:before="0" w:after="0" w:line="278" w:lineRule="auto"/>
            </w:pPr>
            <w:r>
              <w:rPr>
                <w:rFonts w:ascii="Calibri" w:hAnsi="Calibri"/>
                <w:b/>
                <w:i w:val="0"/>
                <w:color w:val="1B3A2F"/>
                <w:sz w:val="17"/>
              </w:rPr>
              <w:t>Sales &amp; billing</w:t>
            </w:r>
          </w:p>
        </w:tc>
        <w:tc>
          <w:tcPr>
            <w:tcW w:type="dxa" w:w="6917"/>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Invoice templates, instalment and subscription schedules from the client register, automated reminders, receipts and allocation</w:t>
            </w:r>
          </w:p>
        </w:tc>
      </w:tr>
      <w:tr>
        <w:trPr>
          <w:cantSplit w:val="true"/>
        </w:trPr>
        <w:tc>
          <w:tcPr>
            <w:tcW w:type="dxa" w:w="2381"/>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Projects &amp; estates</w:t>
            </w:r>
          </w:p>
        </w:tc>
        <w:tc>
          <w:tcPr>
            <w:tcW w:type="dxa" w:w="6917"/>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Nine estates (Green City phases, Pacific Court, Pacific Apartment, Gorge View, Baay Foreshore, Heritage Garden) as trackable projects with budgets</w:t>
            </w:r>
          </w:p>
        </w:tc>
      </w:tr>
      <w:tr>
        <w:trPr>
          <w:cantSplit w:val="true"/>
        </w:trPr>
        <w:tc>
          <w:tcPr>
            <w:tcW w:type="dxa" w:w="2381"/>
            <w:tcMar>
              <w:top w:w="80" w:type="dxa"/>
              <w:left w:w="110" w:type="dxa"/>
              <w:bottom w:w="80" w:type="dxa"/>
              <w:right w:w="110" w:type="dxa"/>
            </w:tcMar>
            <w:vAlign w:val="center"/>
          </w:tcPr>
          <w:p>
            <w:pPr>
              <w:spacing w:before="0" w:after="0" w:line="278" w:lineRule="auto"/>
            </w:pPr>
            <w:r>
              <w:rPr>
                <w:rFonts w:ascii="Calibri" w:hAnsi="Calibri"/>
                <w:b/>
                <w:i w:val="0"/>
                <w:color w:val="1B3A2F"/>
                <w:sz w:val="17"/>
              </w:rPr>
              <w:t>Purchases</w:t>
            </w:r>
          </w:p>
        </w:tc>
        <w:tc>
          <w:tcPr>
            <w:tcW w:type="dxa" w:w="6917"/>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Supplier and subcontractor bills, retention tracking, purchase approvals, WHT on vendor payments</w:t>
            </w:r>
          </w:p>
        </w:tc>
      </w:tr>
      <w:tr>
        <w:trPr>
          <w:cantSplit w:val="true"/>
        </w:trPr>
        <w:tc>
          <w:tcPr>
            <w:tcW w:type="dxa" w:w="2381"/>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Banking</w:t>
            </w:r>
          </w:p>
        </w:tc>
        <w:tc>
          <w:tcPr>
            <w:tcW w:type="dxa" w:w="6917"/>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Providus, First Bank, Sterling and GTBank — statements imported or fed, rules-based categorisation, daily reconciliation</w:t>
            </w:r>
          </w:p>
        </w:tc>
      </w:tr>
      <w:tr>
        <w:trPr>
          <w:cantSplit w:val="true"/>
        </w:trPr>
        <w:tc>
          <w:tcPr>
            <w:tcW w:type="dxa" w:w="2381"/>
            <w:tcMar>
              <w:top w:w="80" w:type="dxa"/>
              <w:left w:w="110" w:type="dxa"/>
              <w:bottom w:w="80" w:type="dxa"/>
              <w:right w:w="110" w:type="dxa"/>
            </w:tcMar>
            <w:vAlign w:val="center"/>
          </w:tcPr>
          <w:p>
            <w:pPr>
              <w:spacing w:before="0" w:after="0" w:line="278" w:lineRule="auto"/>
            </w:pPr>
            <w:r>
              <w:rPr>
                <w:rFonts w:ascii="Calibri" w:hAnsi="Calibri"/>
                <w:b/>
                <w:i w:val="0"/>
                <w:color w:val="1B3A2F"/>
                <w:sz w:val="17"/>
              </w:rPr>
              <w:t>Tax engine</w:t>
            </w:r>
          </w:p>
        </w:tc>
        <w:tc>
          <w:tcPr>
            <w:tcW w:type="dxa" w:w="6917"/>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7.5% VAT (with exempt land supplies separated), WHT at 2% and 5%, PAYE, and the schedules that feed the annual CIT/TET return</w:t>
            </w:r>
          </w:p>
        </w:tc>
      </w:tr>
      <w:tr>
        <w:trPr>
          <w:cantSplit w:val="true"/>
        </w:trPr>
        <w:tc>
          <w:tcPr>
            <w:tcW w:type="dxa" w:w="2381"/>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Fixed assets</w:t>
            </w:r>
          </w:p>
        </w:tc>
        <w:tc>
          <w:tcPr>
            <w:tcW w:type="dxa" w:w="6917"/>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IAS 16 register: plant, machinery and vehicles, depreciation to 20%/25% straight line</w:t>
            </w:r>
          </w:p>
        </w:tc>
      </w:tr>
      <w:tr>
        <w:trPr>
          <w:cantSplit w:val="true"/>
        </w:trPr>
        <w:tc>
          <w:tcPr>
            <w:tcW w:type="dxa" w:w="2381"/>
            <w:tcMar>
              <w:top w:w="80" w:type="dxa"/>
              <w:left w:w="110" w:type="dxa"/>
              <w:bottom w:w="80" w:type="dxa"/>
              <w:right w:w="110" w:type="dxa"/>
            </w:tcMar>
            <w:vAlign w:val="center"/>
          </w:tcPr>
          <w:p>
            <w:pPr>
              <w:spacing w:before="0" w:after="0" w:line="278" w:lineRule="auto"/>
            </w:pPr>
            <w:r>
              <w:rPr>
                <w:rFonts w:ascii="Calibri" w:hAnsi="Calibri"/>
                <w:b/>
                <w:i w:val="0"/>
                <w:color w:val="1B3A2F"/>
                <w:sz w:val="17"/>
              </w:rPr>
              <w:t>Reports</w:t>
            </w:r>
          </w:p>
        </w:tc>
        <w:tc>
          <w:tcPr>
            <w:tcW w:type="dxa" w:w="6917"/>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Cash position, receivables ageing, project margin, tax liability and a one-page monthly board pack</w:t>
            </w:r>
          </w:p>
        </w:tc>
      </w:tr>
      <w:tr>
        <w:trPr>
          <w:cantSplit w:val="true"/>
        </w:trPr>
        <w:tc>
          <w:tcPr>
            <w:tcW w:type="dxa" w:w="2381"/>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Controls</w:t>
            </w:r>
          </w:p>
        </w:tc>
        <w:tc>
          <w:tcPr>
            <w:tcW w:type="dxa" w:w="6917"/>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User roles, approval limits, audit trail, document vault, month-end lock</w:t>
            </w:r>
          </w:p>
        </w:tc>
      </w:tr>
    </w:tbl>
    <w:p>
      <w:pPr>
        <w:spacing w:before="0" w:after="0" w:line="240" w:lineRule="auto"/>
      </w:pPr>
      <w:r>
        <w:rPr>
          <w:rFonts w:ascii="Calibri" w:hAnsi="Calibri"/>
          <w:b w:val="0"/>
          <w:i w:val="0"/>
          <w:sz w:val="20"/>
        </w:rPr>
      </w:r>
    </w:p>
    <w:p>
      <w:pPr>
        <w:keepNext/>
        <w:spacing w:before="0" w:after="60"/>
      </w:pPr>
      <w:r>
        <w:rPr>
          <w:rFonts w:ascii="Calibri" w:hAnsi="Calibri"/>
          <w:b/>
          <w:i w:val="0"/>
          <w:color w:val="1B3A2F"/>
          <w:sz w:val="21"/>
        </w:rPr>
        <w:t>The implementation: six phases, eight weeks</w:t>
      </w:r>
    </w:p>
    <w:tbl>
      <w:tblPr>
        <w:tblW w:w="9298" w:type="dxa"/>
        <w:jc w:val="center"/>
        <w:tblBorders>
          <w:top w:val="single" w:sz="4" w:space="0" w:color="D9D3C6"/>
          <w:left w:val="single" w:sz="4" w:space="0" w:color="D9D3C6"/>
          <w:bottom w:val="single" w:sz="4" w:space="0" w:color="D9D3C6"/>
          <w:right w:val="single" w:sz="4" w:space="0" w:color="D9D3C6"/>
          <w:insideH w:val="single" w:sz="4" w:space="0" w:color="D9D3C6"/>
          <w:insideV w:val="single" w:sz="4" w:space="0" w:color="D9D3C6"/>
        </w:tblBorders>
        <w:tblLayout w:type="fixed"/>
        <w:tblLook w:firstColumn="1" w:firstRow="1" w:lastColumn="0" w:lastRow="0" w:noHBand="0" w:noVBand="1" w:val="04A0"/>
      </w:tblPr>
      <w:tblGrid>
        <w:gridCol w:w="1417"/>
        <w:gridCol w:w="1191"/>
        <w:gridCol w:w="4139"/>
        <w:gridCol w:w="2551"/>
      </w:tblGrid>
      <w:tr>
        <w:trPr>
          <w:tblHeader w:val="true"/>
        </w:trPr>
        <w:tc>
          <w:tcPr>
            <w:tcW w:type="dxa" w:w="1417"/>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PHASE</w:t>
            </w:r>
          </w:p>
        </w:tc>
        <w:tc>
          <w:tcPr>
            <w:tcW w:type="dxa" w:w="1191"/>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WEEKS</w:t>
            </w:r>
          </w:p>
        </w:tc>
        <w:tc>
          <w:tcPr>
            <w:tcW w:type="dxa" w:w="4139"/>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WHAT HAPPENS</w:t>
            </w:r>
          </w:p>
        </w:tc>
        <w:tc>
          <w:tcPr>
            <w:tcW w:type="dxa" w:w="2551"/>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OUTPUT YOU SIGN OFF</w:t>
            </w:r>
          </w:p>
        </w:tc>
      </w:tr>
      <w:tr>
        <w:trPr>
          <w:cantSplit w:val="true"/>
        </w:trPr>
        <w:tc>
          <w:tcPr>
            <w:tcW w:type="dxa" w:w="1417"/>
            <w:tcMar>
              <w:top w:w="80" w:type="dxa"/>
              <w:left w:w="110" w:type="dxa"/>
              <w:bottom w:w="80" w:type="dxa"/>
              <w:right w:w="110" w:type="dxa"/>
            </w:tcMar>
            <w:vAlign w:val="center"/>
          </w:tcPr>
          <w:p>
            <w:pPr>
              <w:spacing w:before="0" w:after="0" w:line="278" w:lineRule="auto"/>
            </w:pPr>
            <w:r>
              <w:rPr>
                <w:rFonts w:ascii="Calibri" w:hAnsi="Calibri"/>
                <w:b/>
                <w:i w:val="0"/>
                <w:color w:val="1B3A2F"/>
                <w:sz w:val="17"/>
              </w:rPr>
              <w:t>1. Mobilise</w:t>
            </w:r>
          </w:p>
        </w:tc>
        <w:tc>
          <w:tcPr>
            <w:tcW w:type="dxa" w:w="119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Week 1</w:t>
            </w:r>
          </w:p>
        </w:tc>
        <w:tc>
          <w:tcPr>
            <w:tcW w:type="dxa" w:w="4139"/>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Kick-off, access to banks and registers, walkthrough of the master workbook</w:t>
            </w:r>
          </w:p>
        </w:tc>
        <w:tc>
          <w:tcPr>
            <w:tcW w:type="dxa" w:w="255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Diagnostic note and project plan</w:t>
            </w:r>
          </w:p>
        </w:tc>
      </w:tr>
      <w:tr>
        <w:trPr>
          <w:cantSplit w:val="true"/>
        </w:trPr>
        <w:tc>
          <w:tcPr>
            <w:tcW w:type="dxa" w:w="1417"/>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2. Design</w:t>
            </w:r>
          </w:p>
        </w:tc>
        <w:tc>
          <w:tcPr>
            <w:tcW w:type="dxa" w:w="119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Week 2</w:t>
            </w:r>
          </w:p>
        </w:tc>
        <w:tc>
          <w:tcPr>
            <w:tcW w:type="dxa" w:w="4139"/>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Chart of accounts, tax codes, project and customer structures, approval rules</w:t>
            </w:r>
          </w:p>
        </w:tc>
        <w:tc>
          <w:tcPr>
            <w:tcW w:type="dxa" w:w="255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Accounting manual v1</w:t>
            </w:r>
          </w:p>
        </w:tc>
      </w:tr>
      <w:tr>
        <w:trPr>
          <w:cantSplit w:val="true"/>
        </w:trPr>
        <w:tc>
          <w:tcPr>
            <w:tcW w:type="dxa" w:w="1417"/>
            <w:tcMar>
              <w:top w:w="80" w:type="dxa"/>
              <w:left w:w="110" w:type="dxa"/>
              <w:bottom w:w="80" w:type="dxa"/>
              <w:right w:w="110" w:type="dxa"/>
            </w:tcMar>
            <w:vAlign w:val="center"/>
          </w:tcPr>
          <w:p>
            <w:pPr>
              <w:spacing w:before="0" w:after="0" w:line="278" w:lineRule="auto"/>
            </w:pPr>
            <w:r>
              <w:rPr>
                <w:rFonts w:ascii="Calibri" w:hAnsi="Calibri"/>
                <w:b/>
                <w:i w:val="0"/>
                <w:color w:val="1B3A2F"/>
                <w:sz w:val="17"/>
              </w:rPr>
              <w:t>3. Configure</w:t>
            </w:r>
          </w:p>
        </w:tc>
        <w:tc>
          <w:tcPr>
            <w:tcW w:type="dxa" w:w="119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Weeks 3–4</w:t>
            </w:r>
          </w:p>
        </w:tc>
        <w:tc>
          <w:tcPr>
            <w:tcW w:type="dxa" w:w="4139"/>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Zoho Books Nigeria edition built, master data loaded, opening balances at 1 January 2026</w:t>
            </w:r>
          </w:p>
        </w:tc>
        <w:tc>
          <w:tcPr>
            <w:tcW w:type="dxa" w:w="255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Configuration sign-off</w:t>
            </w:r>
          </w:p>
        </w:tc>
      </w:tr>
      <w:tr>
        <w:trPr>
          <w:cantSplit w:val="true"/>
        </w:trPr>
        <w:tc>
          <w:tcPr>
            <w:tcW w:type="dxa" w:w="1417"/>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4. Catch-up</w:t>
            </w:r>
          </w:p>
        </w:tc>
        <w:tc>
          <w:tcPr>
            <w:tcW w:type="dxa" w:w="119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Weeks 5–6</w:t>
            </w:r>
          </w:p>
        </w:tc>
        <w:tc>
          <w:tcPr>
            <w:tcW w:type="dxa" w:w="4139"/>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2026 transactions posted month by month, banks reconciled, tax schedules populated</w:t>
            </w:r>
          </w:p>
        </w:tc>
        <w:tc>
          <w:tcPr>
            <w:tcW w:type="dxa" w:w="255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Reconciled trial balance</w:t>
            </w:r>
          </w:p>
        </w:tc>
      </w:tr>
      <w:tr>
        <w:trPr>
          <w:cantSplit w:val="true"/>
        </w:trPr>
        <w:tc>
          <w:tcPr>
            <w:tcW w:type="dxa" w:w="1417"/>
            <w:tcMar>
              <w:top w:w="80" w:type="dxa"/>
              <w:left w:w="110" w:type="dxa"/>
              <w:bottom w:w="80" w:type="dxa"/>
              <w:right w:w="110" w:type="dxa"/>
            </w:tcMar>
            <w:vAlign w:val="center"/>
          </w:tcPr>
          <w:p>
            <w:pPr>
              <w:spacing w:before="0" w:after="0" w:line="278" w:lineRule="auto"/>
            </w:pPr>
            <w:r>
              <w:rPr>
                <w:rFonts w:ascii="Calibri" w:hAnsi="Calibri"/>
                <w:b/>
                <w:i w:val="0"/>
                <w:color w:val="1B3A2F"/>
                <w:sz w:val="17"/>
              </w:rPr>
              <w:t>5. Test &amp; train</w:t>
            </w:r>
          </w:p>
        </w:tc>
        <w:tc>
          <w:tcPr>
            <w:tcW w:type="dxa" w:w="119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Week 7</w:t>
            </w:r>
          </w:p>
        </w:tc>
        <w:tc>
          <w:tcPr>
            <w:tcW w:type="dxa" w:w="4139"/>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Parallel run against your records, two days of training, SOP handover</w:t>
            </w:r>
          </w:p>
        </w:tc>
        <w:tc>
          <w:tcPr>
            <w:tcW w:type="dxa" w:w="255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UAT sign-off, trained users</w:t>
            </w:r>
          </w:p>
        </w:tc>
      </w:tr>
      <w:tr>
        <w:trPr>
          <w:cantSplit w:val="true"/>
        </w:trPr>
        <w:tc>
          <w:tcPr>
            <w:tcW w:type="dxa" w:w="1417"/>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6. Go live</w:t>
            </w:r>
          </w:p>
        </w:tc>
        <w:tc>
          <w:tcPr>
            <w:tcW w:type="dxa" w:w="119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Week 8</w:t>
            </w:r>
          </w:p>
        </w:tc>
        <w:tc>
          <w:tcPr>
            <w:tcW w:type="dxa" w:w="4139"/>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Cut-over, first live month-end, 30 days hypercare</w:t>
            </w:r>
          </w:p>
        </w:tc>
        <w:tc>
          <w:tcPr>
            <w:tcW w:type="dxa" w:w="255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Go-live certificate</w:t>
            </w:r>
          </w:p>
        </w:tc>
      </w:tr>
    </w:tbl>
    <w:p>
      <w:pPr>
        <w:spacing w:before="0" w:after="0" w:line="240" w:lineRule="auto"/>
      </w:pPr>
      <w:r>
        <w:rPr>
          <w:rFonts w:ascii="Calibri" w:hAnsi="Calibri"/>
          <w:b w:val="0"/>
          <w:i w:val="0"/>
          <w:sz w:val="16"/>
        </w:rPr>
      </w:r>
    </w:p>
    <w:tbl>
      <w:tblPr>
        <w:tblW w:w="9298" w:type="dxa"/>
        <w:jc w:val="center"/>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left w:val="single" w:sz="24" w:space="0" w:color="B08A3E"/>
              <w:top w:val="nil"/>
              <w:bottom w:val="nil"/>
              <w:right w:val="nil"/>
            </w:tcBorders>
            <w:shd w:val="clear" w:color="auto" w:fill="F6F3EC"/>
            <w:tcMar>
              <w:top w:w="170" w:type="dxa"/>
              <w:left w:w="230" w:type="dxa"/>
              <w:bottom w:w="170" w:type="dxa"/>
              <w:right w:w="230" w:type="dxa"/>
            </w:tcMar>
          </w:tcPr>
          <w:p>
            <w:pPr>
              <w:spacing w:before="0" w:after="40" w:line="269" w:lineRule="auto"/>
            </w:pPr>
            <w:r>
              <w:rPr>
                <w:rFonts w:ascii="Calibri" w:hAnsi="Calibri"/>
                <w:b/>
                <w:i w:val="0"/>
                <w:color w:val="B08A3E"/>
                <w:spacing w:val="26"/>
                <w:sz w:val="15"/>
              </w:rPr>
              <w:t>ACCEPTANCE CRITERIA — WE ARE PAID ON THESE</w:t>
            </w:r>
          </w:p>
          <w:p>
            <w:pPr>
              <w:spacing w:before="0" w:after="0" w:line="293" w:lineRule="auto"/>
            </w:pPr>
            <w:r>
              <w:rPr>
                <w:rFonts w:ascii="Calibri" w:hAnsi="Calibri"/>
                <w:b w:val="0"/>
                <w:i w:val="0"/>
                <w:color w:val="5C5C5C"/>
                <w:sz w:val="20"/>
              </w:rPr>
              <w:t>The opening trial balance agrees to your audited 31 December 2025 statements to the naira · every bank account reconciles at go-live · six users are trained and confident · the first month-end closes in five working days · you hold a written procedures manual that survives staff turnover.</w:t>
            </w:r>
          </w:p>
        </w:tc>
      </w:tr>
    </w:tbl>
    <w:p>
      <w:pPr>
        <w:spacing w:before="0" w:after="0" w:line="240" w:lineRule="auto"/>
      </w:pPr>
      <w:r>
        <w:rPr>
          <w:rFonts w:ascii="Calibri" w:hAnsi="Calibri"/>
          <w:b w:val="0"/>
          <w:i w:val="0"/>
          <w:sz w:val="16"/>
        </w:rPr>
      </w:r>
    </w:p>
    <w:p>
      <w:r>
        <w:br w:type="page"/>
      </w:r>
    </w:p>
    <w:p>
      <w:pPr>
        <w:keepNext/>
        <w:pBdr>
          <w:bottom w:val="single" w:sz="8" w:space="4" w:color="B08A3E"/>
        </w:pBdr>
        <w:spacing w:before="0" w:after="180"/>
      </w:pPr>
      <w:r>
        <w:rPr>
          <w:rFonts w:ascii="Calibri" w:hAnsi="Calibri"/>
          <w:b/>
          <w:i w:val="0"/>
          <w:color w:val="B08A3E"/>
          <w:spacing w:val="24"/>
          <w:sz w:val="18"/>
        </w:rPr>
        <w:t xml:space="preserve">04   </w:t>
      </w:r>
      <w:r>
        <w:rPr>
          <w:rFonts w:ascii="Georgia" w:hAnsi="Georgia"/>
          <w:b/>
          <w:i w:val="0"/>
          <w:color w:val="1B3A2F"/>
          <w:spacing w:val="12"/>
          <w:sz w:val="27"/>
        </w:rPr>
        <w:t>WHAT CHANGES ON MONDAY MORNING</w:t>
      </w:r>
    </w:p>
    <w:p>
      <w:pPr>
        <w:spacing w:before="0" w:after="240" w:line="307" w:lineRule="auto"/>
      </w:pPr>
      <w:r>
        <w:rPr>
          <w:rFonts w:ascii="Calibri" w:hAnsi="Calibri"/>
          <w:b w:val="0"/>
          <w:i w:val="0"/>
          <w:color w:val="5C5C5C"/>
          <w:sz w:val="21"/>
        </w:rPr>
        <w:t>Systems projects fail when they are sold as software. This one is sold as a change in how the company runs — and the difference is easiest to see side by side.</w:t>
      </w:r>
    </w:p>
    <w:tbl>
      <w:tblPr>
        <w:tblW w:w="9298" w:type="dxa"/>
        <w:jc w:val="center"/>
        <w:tblBorders>
          <w:top w:val="single" w:sz="4" w:space="0" w:color="D9D3C6"/>
          <w:left w:val="single" w:sz="4" w:space="0" w:color="D9D3C6"/>
          <w:bottom w:val="single" w:sz="4" w:space="0" w:color="D9D3C6"/>
          <w:right w:val="single" w:sz="4" w:space="0" w:color="D9D3C6"/>
          <w:insideH w:val="single" w:sz="4" w:space="0" w:color="D9D3C6"/>
          <w:insideV w:val="single" w:sz="4" w:space="0" w:color="D9D3C6"/>
        </w:tblBorders>
        <w:tblLayout w:type="fixed"/>
        <w:tblLook w:firstColumn="1" w:firstRow="1" w:lastColumn="0" w:lastRow="0" w:noHBand="0" w:noVBand="1" w:val="04A0"/>
      </w:tblPr>
      <w:tblGrid>
        <w:gridCol w:w="4649"/>
        <w:gridCol w:w="4649"/>
      </w:tblGrid>
      <w:tr>
        <w:trPr>
          <w:tblHeader w:val="true"/>
        </w:trPr>
        <w:tc>
          <w:tcPr>
            <w:tcW w:type="dxa" w:w="4649"/>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TODAY</w:t>
            </w:r>
          </w:p>
        </w:tc>
        <w:tc>
          <w:tcPr>
            <w:tcW w:type="dxa" w:w="4649"/>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FROM GO-LIVE</w:t>
            </w:r>
          </w:p>
        </w:tc>
      </w:tr>
      <w:tr>
        <w:trPr>
          <w:cantSplit w:val="true"/>
        </w:trPr>
        <w:tc>
          <w:tcPr>
            <w:tcW w:type="dxa" w:w="4649"/>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Year-end revenue rebuilt from Drive turnover sheets and commission registers</w:t>
            </w:r>
          </w:p>
        </w:tc>
        <w:tc>
          <w:tcPr>
            <w:tcW w:type="dxa" w:w="4649"/>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Every invoice raised in-system, with due dates, receipts and reminders</w:t>
            </w:r>
          </w:p>
        </w:tc>
      </w:tr>
      <w:tr>
        <w:trPr>
          <w:cantSplit w:val="true"/>
        </w:trPr>
        <w:tc>
          <w:tcPr>
            <w:tcW w:type="dxa" w:w="4649"/>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Four bank accounts reconciled by hand, months in arrears</w:t>
            </w:r>
          </w:p>
        </w:tc>
        <w:tc>
          <w:tcPr>
            <w:tcW w:type="dxa" w:w="4649"/>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Daily bank feeds, rules-based matching, exceptions visible same day</w:t>
            </w:r>
          </w:p>
        </w:tc>
      </w:tr>
      <w:tr>
        <w:trPr>
          <w:cantSplit w:val="true"/>
        </w:trPr>
        <w:tc>
          <w:tcPr>
            <w:tcW w:type="dxa" w:w="4649"/>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VAT and WHT computed after the fact from the accounts</w:t>
            </w:r>
          </w:p>
        </w:tc>
        <w:tc>
          <w:tcPr>
            <w:tcW w:type="dxa" w:w="4649"/>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Tax captured at the point of invoice and payment; returns ready by the 15th</w:t>
            </w:r>
          </w:p>
        </w:tc>
      </w:tr>
      <w:tr>
        <w:trPr>
          <w:cantSplit w:val="true"/>
        </w:trPr>
        <w:tc>
          <w:tcPr>
            <w:tcW w:type="dxa" w:w="4649"/>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Withholding tax credit notes chased manually, if at all</w:t>
            </w:r>
          </w:p>
        </w:tc>
        <w:tc>
          <w:tcPr>
            <w:tcW w:type="dxa" w:w="4649"/>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WHT receivable register that reconciles credits and offsets them against CIT</w:t>
            </w:r>
          </w:p>
        </w:tc>
      </w:tr>
      <w:tr>
        <w:trPr>
          <w:cantSplit w:val="true"/>
        </w:trPr>
        <w:tc>
          <w:tcPr>
            <w:tcW w:type="dxa" w:w="4649"/>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Project margin known only at year-end</w:t>
            </w:r>
          </w:p>
        </w:tc>
        <w:tc>
          <w:tcPr>
            <w:tcW w:type="dxa" w:w="4649"/>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Live margin by estate and by plot, with cost-to-complete flagged</w:t>
            </w:r>
          </w:p>
        </w:tc>
      </w:tr>
      <w:tr>
        <w:trPr>
          <w:cantSplit w:val="true"/>
        </w:trPr>
        <w:tc>
          <w:tcPr>
            <w:tcW w:type="dxa" w:w="4649"/>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Board pack assembled by the accountant over weeks</w:t>
            </w:r>
          </w:p>
        </w:tc>
        <w:tc>
          <w:tcPr>
            <w:tcW w:type="dxa" w:w="4649"/>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One-page dashboard on the 5th working day</w:t>
            </w:r>
          </w:p>
        </w:tc>
      </w:tr>
      <w:tr>
        <w:trPr>
          <w:cantSplit w:val="true"/>
        </w:trPr>
        <w:tc>
          <w:tcPr>
            <w:tcW w:type="dxa" w:w="4649"/>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Audit file put together for the auditor</w:t>
            </w:r>
          </w:p>
        </w:tc>
        <w:tc>
          <w:tcPr>
            <w:tcW w:type="dxa" w:w="4649"/>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Audit file exported from the system, with a complete transaction trail</w:t>
            </w:r>
          </w:p>
        </w:tc>
      </w:tr>
      <w:tr>
        <w:trPr>
          <w:cantSplit w:val="true"/>
        </w:trPr>
        <w:tc>
          <w:tcPr>
            <w:tcW w:type="dxa" w:w="4649"/>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Knowledge held by one or two people</w:t>
            </w:r>
          </w:p>
        </w:tc>
        <w:tc>
          <w:tcPr>
            <w:tcW w:type="dxa" w:w="4649"/>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Documented SOPs, role-based access, and a system the team is trained on</w:t>
            </w:r>
          </w:p>
        </w:tc>
      </w:tr>
    </w:tbl>
    <w:p>
      <w:pPr>
        <w:spacing w:before="0" w:after="0" w:line="240" w:lineRule="auto"/>
      </w:pPr>
      <w:r>
        <w:rPr>
          <w:rFonts w:ascii="Calibri" w:hAnsi="Calibri"/>
          <w:b w:val="0"/>
          <w:i w:val="0"/>
          <w:sz w:val="20"/>
        </w:rPr>
      </w:r>
    </w:p>
    <w:p>
      <w:pPr>
        <w:keepNext/>
        <w:spacing w:before="40" w:after="60"/>
      </w:pPr>
      <w:r>
        <w:rPr>
          <w:rFonts w:ascii="Calibri" w:hAnsi="Calibri"/>
          <w:b/>
          <w:i w:val="0"/>
          <w:color w:val="1B3A2F"/>
          <w:sz w:val="21"/>
        </w:rPr>
        <w:t>What the Board gets, in plain terms</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Certainty: </w:t>
      </w:r>
      <w:r>
        <w:rPr>
          <w:rFonts w:ascii="Calibri" w:hAnsi="Calibri"/>
          <w:b w:val="0"/>
          <w:i w:val="0"/>
          <w:color w:val="5C5C5C"/>
          <w:sz w:val="21"/>
        </w:rPr>
        <w:t>a number you can trust on any morning, not just in March.</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Cash discipline: </w:t>
      </w:r>
      <w:r>
        <w:rPr>
          <w:rFonts w:ascii="Calibri" w:hAnsi="Calibri"/>
          <w:b w:val="0"/>
          <w:i w:val="0"/>
          <w:color w:val="5C5C5C"/>
          <w:sz w:val="21"/>
        </w:rPr>
        <w:t>₦774.6 million of subscriber balances with ageing, owners and follow-up dates.</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A fixed price: </w:t>
      </w:r>
      <w:r>
        <w:rPr>
          <w:rFonts w:ascii="Calibri" w:hAnsi="Calibri"/>
          <w:b w:val="0"/>
          <w:i w:val="0"/>
          <w:color w:val="5C5C5C"/>
          <w:sz w:val="21"/>
        </w:rPr>
        <w:t>₦2.5 million, with 40% on signature, 30% on configuration sign-off and 30% on go-live. No hourly surprises.</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Continuity: </w:t>
      </w:r>
      <w:r>
        <w:rPr>
          <w:rFonts w:ascii="Calibri" w:hAnsi="Calibri"/>
          <w:b w:val="0"/>
          <w:i w:val="0"/>
          <w:color w:val="5C5C5C"/>
          <w:sz w:val="21"/>
        </w:rPr>
        <w:t>no dependency on any single individual — including us.</w:t>
      </w:r>
    </w:p>
    <w:p>
      <w:pPr>
        <w:spacing w:before="0" w:after="0" w:line="240" w:lineRule="auto"/>
      </w:pPr>
      <w:r>
        <w:rPr>
          <w:rFonts w:ascii="Calibri" w:hAnsi="Calibri"/>
          <w:b w:val="0"/>
          <w:i w:val="0"/>
          <w:sz w:val="8"/>
        </w:rPr>
      </w:r>
    </w:p>
    <w:tbl>
      <w:tblPr>
        <w:tblW w:w="9298" w:type="dxa"/>
        <w:jc w:val="center"/>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left w:val="single" w:sz="24" w:space="0" w:color="B08A3E"/>
              <w:top w:val="nil"/>
              <w:bottom w:val="nil"/>
              <w:right w:val="nil"/>
            </w:tcBorders>
            <w:shd w:val="clear" w:color="auto" w:fill="FBFAF6"/>
            <w:tcMar>
              <w:top w:w="200" w:type="dxa"/>
              <w:left w:w="320" w:type="dxa"/>
              <w:bottom w:w="200" w:type="dxa"/>
              <w:right w:w="320" w:type="dxa"/>
            </w:tcMar>
          </w:tcPr>
          <w:p>
            <w:pPr>
              <w:spacing w:before="0" w:after="0" w:line="283" w:lineRule="auto"/>
            </w:pPr>
            <w:r>
              <w:rPr>
                <w:rFonts w:ascii="Georgia" w:hAnsi="Georgia"/>
                <w:b w:val="0"/>
                <w:i/>
                <w:color w:val="1B3A2F"/>
                <w:sz w:val="25"/>
              </w:rPr>
              <w:t>A spreadsheet records history. A system runs a business.</w:t>
            </w:r>
          </w:p>
          <w:p>
            <w:pPr>
              <w:spacing w:before="80" w:after="0"/>
            </w:pPr>
            <w:r>
              <w:rPr>
                <w:rFonts w:ascii="Calibri" w:hAnsi="Calibri"/>
                <w:b/>
                <w:i w:val="0"/>
                <w:color w:val="B08A3E"/>
                <w:spacing w:val="24"/>
                <w:sz w:val="14"/>
              </w:rPr>
              <w:t>THE DIFFERENCE, IN ONE LINE</w:t>
            </w:r>
          </w:p>
        </w:tc>
      </w:tr>
    </w:tbl>
    <w:p>
      <w:pPr>
        <w:spacing w:before="0" w:after="0" w:line="240" w:lineRule="auto"/>
      </w:pPr>
      <w:r>
        <w:rPr>
          <w:rFonts w:ascii="Calibri" w:hAnsi="Calibri"/>
          <w:b w:val="0"/>
          <w:i w:val="0"/>
          <w:sz w:val="16"/>
        </w:rPr>
      </w:r>
    </w:p>
    <w:tbl>
      <w:tblPr>
        <w:tblW w:w="9298" w:type="dxa"/>
        <w:jc w:val="center"/>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left w:val="single" w:sz="24" w:space="0" w:color="B08A3E"/>
              <w:top w:val="nil"/>
              <w:bottom w:val="nil"/>
              <w:right w:val="nil"/>
            </w:tcBorders>
            <w:shd w:val="clear" w:color="auto" w:fill="F6F3EC"/>
            <w:tcMar>
              <w:top w:w="170" w:type="dxa"/>
              <w:left w:w="230" w:type="dxa"/>
              <w:bottom w:w="170" w:type="dxa"/>
              <w:right w:w="230" w:type="dxa"/>
            </w:tcMar>
          </w:tcPr>
          <w:p>
            <w:pPr>
              <w:spacing w:before="0" w:after="40" w:line="269" w:lineRule="auto"/>
            </w:pPr>
            <w:r>
              <w:rPr>
                <w:rFonts w:ascii="Calibri" w:hAnsi="Calibri"/>
                <w:b/>
                <w:i w:val="0"/>
                <w:color w:val="B08A3E"/>
                <w:spacing w:val="26"/>
                <w:sz w:val="15"/>
              </w:rPr>
              <w:t>WHY ZOHO BOOKS, AND NOT A BIGGER ERP</w:t>
            </w:r>
          </w:p>
          <w:p>
            <w:pPr>
              <w:spacing w:before="0" w:after="0" w:line="293" w:lineRule="auto"/>
            </w:pPr>
            <w:r>
              <w:rPr>
                <w:rFonts w:ascii="Calibri" w:hAnsi="Calibri"/>
                <w:b w:val="0"/>
                <w:i w:val="0"/>
                <w:color w:val="5C5C5C"/>
                <w:sz w:val="20"/>
              </w:rPr>
              <w:t>Zoho Books is right-sized for a ₦112 million contractor: real projects, real inventory, real tax codes, at a subscription cost that will not embarrass the finance budget. It is also the system your team can be trained on in two days rather than two quarters — which is the single biggest reason implementations succeed or quietly die.</w:t>
            </w:r>
          </w:p>
        </w:tc>
      </w:tr>
    </w:tbl>
    <w:p>
      <w:pPr>
        <w:spacing w:before="0" w:after="0" w:line="240" w:lineRule="auto"/>
      </w:pPr>
      <w:r>
        <w:rPr>
          <w:rFonts w:ascii="Calibri" w:hAnsi="Calibri"/>
          <w:b w:val="0"/>
          <w:i w:val="0"/>
          <w:sz w:val="16"/>
        </w:rPr>
      </w:r>
    </w:p>
    <w:p>
      <w:r>
        <w:br w:type="page"/>
      </w:r>
    </w:p>
    <w:tbl>
      <w:tblPr>
        <w:tblW w:w="9298" w:type="dxa"/>
        <w:jc w:val="center"/>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shd w:val="clear" w:color="auto" w:fill="1B3A2F"/>
            <w:tcMar>
              <w:top w:w="260" w:type="dxa"/>
              <w:left w:w="300" w:type="dxa"/>
              <w:bottom w:w="260" w:type="dxa"/>
              <w:right w:w="300" w:type="dxa"/>
            </w:tcMar>
          </w:tcPr>
          <w:p>
            <w:pPr>
              <w:spacing w:before="0" w:after="60"/>
            </w:pPr>
            <w:r>
              <w:rPr>
                <w:rFonts w:ascii="Calibri" w:hAnsi="Calibri"/>
                <w:b/>
                <w:i w:val="0"/>
                <w:color w:val="C9A75E"/>
                <w:spacing w:val="36"/>
                <w:sz w:val="15"/>
              </w:rPr>
              <w:t>05  ·  SERVICE TWO</w:t>
            </w:r>
          </w:p>
          <w:p>
            <w:pPr>
              <w:spacing w:before="0" w:after="40" w:line="252" w:lineRule="auto"/>
            </w:pPr>
            <w:r>
              <w:rPr>
                <w:rFonts w:ascii="Georgia" w:hAnsi="Georgia"/>
                <w:b/>
                <w:i w:val="0"/>
                <w:color w:val="FFFFFF"/>
                <w:sz w:val="34"/>
              </w:rPr>
              <w:t>Tax compliance &amp; management</w:t>
            </w:r>
          </w:p>
          <w:p>
            <w:pPr>
              <w:spacing w:before="0" w:after="0" w:line="283" w:lineRule="auto"/>
            </w:pPr>
            <w:r>
              <w:rPr>
                <w:rFonts w:ascii="Calibri" w:hAnsi="Calibri"/>
                <w:b w:val="0"/>
                <w:i/>
                <w:color w:val="D8E0DA"/>
                <w:sz w:val="18"/>
              </w:rPr>
              <w:t>Every filing, every deadline, every credit — owned by us, visible to you, priced monthly.</w:t>
            </w:r>
          </w:p>
        </w:tc>
      </w:tr>
    </w:tbl>
    <w:p>
      <w:pPr>
        <w:spacing w:before="0" w:after="0" w:line="240" w:lineRule="auto"/>
      </w:pPr>
      <w:r>
        <w:rPr>
          <w:rFonts w:ascii="Calibri" w:hAnsi="Calibri"/>
          <w:b w:val="0"/>
          <w:i w:val="0"/>
          <w:sz w:val="16"/>
        </w:rPr>
      </w:r>
    </w:p>
    <w:p>
      <w:pPr>
        <w:spacing w:before="0" w:after="120" w:line="307" w:lineRule="auto"/>
      </w:pPr>
      <w:r>
        <w:rPr>
          <w:rFonts w:ascii="Calibri" w:hAnsi="Calibri"/>
          <w:b w:val="0"/>
          <w:i w:val="0"/>
          <w:color w:val="5C5C5C"/>
          <w:sz w:val="21"/>
        </w:rPr>
        <w:t>Baay’s tax exposure is not unusual for a fast-growing developer; it is simply unmanaged. Land sales are VAT-exempt while construction and consultancy are taxable. Clients deduct WHT from progress payments and the credit notes do not always reach the accounts. And since 1 January 2026 the consolidated Nigeria Tax Act and Nigeria Tax Administration Act have changed the filing landscape again. None of this is fatal. All of it is avoidable.</w:t>
      </w:r>
    </w:p>
    <w:p>
      <w:pPr>
        <w:keepNext/>
        <w:spacing w:before="80" w:after="60"/>
      </w:pPr>
      <w:r>
        <w:rPr>
          <w:rFonts w:ascii="Calibri" w:hAnsi="Calibri"/>
          <w:b/>
          <w:i w:val="0"/>
          <w:color w:val="1B3A2F"/>
          <w:sz w:val="21"/>
        </w:rPr>
        <w:t>The compliance calendar we will own</w:t>
      </w:r>
    </w:p>
    <w:tbl>
      <w:tblPr>
        <w:tblW w:w="9298" w:type="dxa"/>
        <w:jc w:val="center"/>
        <w:tblBorders>
          <w:top w:val="single" w:sz="4" w:space="0" w:color="D9D3C6"/>
          <w:left w:val="single" w:sz="4" w:space="0" w:color="D9D3C6"/>
          <w:bottom w:val="single" w:sz="4" w:space="0" w:color="D9D3C6"/>
          <w:right w:val="single" w:sz="4" w:space="0" w:color="D9D3C6"/>
          <w:insideH w:val="single" w:sz="4" w:space="0" w:color="D9D3C6"/>
          <w:insideV w:val="single" w:sz="4" w:space="0" w:color="D9D3C6"/>
        </w:tblBorders>
        <w:tblLayout w:type="fixed"/>
        <w:tblLook w:firstColumn="1" w:firstRow="1" w:lastColumn="0" w:lastRow="0" w:noHBand="0" w:noVBand="1" w:val="04A0"/>
      </w:tblPr>
      <w:tblGrid>
        <w:gridCol w:w="2041"/>
        <w:gridCol w:w="1361"/>
        <w:gridCol w:w="5896"/>
      </w:tblGrid>
      <w:tr>
        <w:trPr>
          <w:tblHeader w:val="true"/>
        </w:trPr>
        <w:tc>
          <w:tcPr>
            <w:tcW w:type="dxa" w:w="2041"/>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OBLIGATION</w:t>
            </w:r>
          </w:p>
        </w:tc>
        <w:tc>
          <w:tcPr>
            <w:tcW w:type="dxa" w:w="1361"/>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DUE</w:t>
            </w:r>
          </w:p>
        </w:tc>
        <w:tc>
          <w:tcPr>
            <w:tcW w:type="dxa" w:w="5896"/>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WHAT WE DO EACH PERIOD</w:t>
            </w:r>
          </w:p>
        </w:tc>
      </w:tr>
      <w:tr>
        <w:trPr>
          <w:cantSplit w:val="true"/>
        </w:trPr>
        <w:tc>
          <w:tcPr>
            <w:tcW w:type="dxa" w:w="2041"/>
            <w:tcMar>
              <w:top w:w="80" w:type="dxa"/>
              <w:left w:w="110" w:type="dxa"/>
              <w:bottom w:w="80" w:type="dxa"/>
              <w:right w:w="110" w:type="dxa"/>
            </w:tcMar>
            <w:vAlign w:val="center"/>
          </w:tcPr>
          <w:p>
            <w:pPr>
              <w:spacing w:before="0" w:after="0" w:line="278" w:lineRule="auto"/>
            </w:pPr>
            <w:r>
              <w:rPr>
                <w:rFonts w:ascii="Calibri" w:hAnsi="Calibri"/>
                <w:b/>
                <w:i w:val="0"/>
                <w:color w:val="1B3A2F"/>
                <w:sz w:val="17"/>
              </w:rPr>
              <w:t>VAT return &amp; payment</w:t>
            </w:r>
          </w:p>
        </w:tc>
        <w:tc>
          <w:tcPr>
            <w:tcW w:type="dxa" w:w="136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21st monthly</w:t>
            </w:r>
          </w:p>
        </w:tc>
        <w:tc>
          <w:tcPr>
            <w:tcW w:type="dxa" w:w="589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Output VAT on taxable construction and consultancy; exempt land supplies excluded and documented; input VAT recovered; FIRS filing and remittance evidence</w:t>
            </w:r>
          </w:p>
        </w:tc>
      </w:tr>
      <w:tr>
        <w:trPr>
          <w:cantSplit w:val="true"/>
        </w:trPr>
        <w:tc>
          <w:tcPr>
            <w:tcW w:type="dxa" w:w="2041"/>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WHT on vendors</w:t>
            </w:r>
          </w:p>
        </w:tc>
        <w:tc>
          <w:tcPr>
            <w:tcW w:type="dxa" w:w="136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21st monthly</w:t>
            </w:r>
          </w:p>
        </w:tc>
        <w:tc>
          <w:tcPr>
            <w:tcW w:type="dxa" w:w="5896"/>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Correct rate applied (2% building, 5% other services under the 2024 regulations), credit notes issued, schedule filed</w:t>
            </w:r>
          </w:p>
        </w:tc>
      </w:tr>
      <w:tr>
        <w:trPr>
          <w:cantSplit w:val="true"/>
        </w:trPr>
        <w:tc>
          <w:tcPr>
            <w:tcW w:type="dxa" w:w="2041"/>
            <w:tcMar>
              <w:top w:w="80" w:type="dxa"/>
              <w:left w:w="110" w:type="dxa"/>
              <w:bottom w:w="80" w:type="dxa"/>
              <w:right w:w="110" w:type="dxa"/>
            </w:tcMar>
            <w:vAlign w:val="center"/>
          </w:tcPr>
          <w:p>
            <w:pPr>
              <w:spacing w:before="0" w:after="0" w:line="278" w:lineRule="auto"/>
            </w:pPr>
            <w:r>
              <w:rPr>
                <w:rFonts w:ascii="Calibri" w:hAnsi="Calibri"/>
                <w:b/>
                <w:i w:val="0"/>
                <w:color w:val="1B3A2F"/>
                <w:sz w:val="17"/>
              </w:rPr>
              <w:t>PAYE &amp; pension</w:t>
            </w:r>
          </w:p>
        </w:tc>
        <w:tc>
          <w:tcPr>
            <w:tcW w:type="dxa" w:w="136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10th monthly</w:t>
            </w:r>
          </w:p>
        </w:tc>
        <w:tc>
          <w:tcPr>
            <w:tcW w:type="dxa" w:w="589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Payroll review, consolidated relief allowance, LIRS filing, remittance, employee schedules</w:t>
            </w:r>
          </w:p>
        </w:tc>
      </w:tr>
      <w:tr>
        <w:trPr>
          <w:cantSplit w:val="true"/>
        </w:trPr>
        <w:tc>
          <w:tcPr>
            <w:tcW w:type="dxa" w:w="2041"/>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CIT self-assessment</w:t>
            </w:r>
          </w:p>
        </w:tc>
        <w:tc>
          <w:tcPr>
            <w:tcW w:type="dxa" w:w="136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30 June annually</w:t>
            </w:r>
          </w:p>
        </w:tc>
        <w:tc>
          <w:tcPr>
            <w:tcW w:type="dxa" w:w="5896"/>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Assessable profit, disallowables, capital allowances limited to 66.67%, minimum tax test, deferred tax under IAS 12</w:t>
            </w:r>
          </w:p>
        </w:tc>
      </w:tr>
      <w:tr>
        <w:trPr>
          <w:cantSplit w:val="true"/>
        </w:trPr>
        <w:tc>
          <w:tcPr>
            <w:tcW w:type="dxa" w:w="2041"/>
            <w:tcMar>
              <w:top w:w="80" w:type="dxa"/>
              <w:left w:w="110" w:type="dxa"/>
              <w:bottom w:w="80" w:type="dxa"/>
              <w:right w:w="110" w:type="dxa"/>
            </w:tcMar>
            <w:vAlign w:val="center"/>
          </w:tcPr>
          <w:p>
            <w:pPr>
              <w:spacing w:before="0" w:after="0" w:line="278" w:lineRule="auto"/>
            </w:pPr>
            <w:r>
              <w:rPr>
                <w:rFonts w:ascii="Calibri" w:hAnsi="Calibri"/>
                <w:b/>
                <w:i w:val="0"/>
                <w:color w:val="1B3A2F"/>
                <w:sz w:val="17"/>
              </w:rPr>
              <w:t>TET, PTF, NASENI</w:t>
            </w:r>
          </w:p>
        </w:tc>
        <w:tc>
          <w:tcPr>
            <w:tcW w:type="dxa" w:w="136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30 June annually</w:t>
            </w:r>
          </w:p>
        </w:tc>
        <w:tc>
          <w:tcPr>
            <w:tcW w:type="dxa" w:w="589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3% tertiary education tax, 0.005% Police Trust Fund, 0.25% NASENI where turnover exceeds ₦100m</w:t>
            </w:r>
          </w:p>
        </w:tc>
      </w:tr>
      <w:tr>
        <w:trPr>
          <w:cantSplit w:val="true"/>
        </w:trPr>
        <w:tc>
          <w:tcPr>
            <w:tcW w:type="dxa" w:w="2041"/>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WHT credits</w:t>
            </w:r>
          </w:p>
        </w:tc>
        <w:tc>
          <w:tcPr>
            <w:tcW w:type="dxa" w:w="136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Continuous</w:t>
            </w:r>
          </w:p>
        </w:tc>
        <w:tc>
          <w:tcPr>
            <w:tcW w:type="dxa" w:w="5896"/>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Reconcile client deductions to credit notes and offset against CIT; recover what has already been paid</w:t>
            </w:r>
          </w:p>
        </w:tc>
      </w:tr>
      <w:tr>
        <w:trPr>
          <w:cantSplit w:val="true"/>
        </w:trPr>
        <w:tc>
          <w:tcPr>
            <w:tcW w:type="dxa" w:w="2041"/>
            <w:tcMar>
              <w:top w:w="80" w:type="dxa"/>
              <w:left w:w="110" w:type="dxa"/>
              <w:bottom w:w="80" w:type="dxa"/>
              <w:right w:w="110" w:type="dxa"/>
            </w:tcMar>
            <w:vAlign w:val="center"/>
          </w:tcPr>
          <w:p>
            <w:pPr>
              <w:spacing w:before="0" w:after="0" w:line="278" w:lineRule="auto"/>
            </w:pPr>
            <w:r>
              <w:rPr>
                <w:rFonts w:ascii="Calibri" w:hAnsi="Calibri"/>
                <w:b/>
                <w:i w:val="0"/>
                <w:color w:val="1B3A2F"/>
                <w:sz w:val="17"/>
              </w:rPr>
              <w:t>Related party &amp; TP</w:t>
            </w:r>
          </w:p>
        </w:tc>
        <w:tc>
          <w:tcPr>
            <w:tcW w:type="dxa" w:w="136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Annual</w:t>
            </w:r>
          </w:p>
        </w:tc>
        <w:tc>
          <w:tcPr>
            <w:tcW w:type="dxa" w:w="589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Director loan disclosure (₦7.5m interest-free) and transfer pricing documentation</w:t>
            </w:r>
          </w:p>
        </w:tc>
      </w:tr>
      <w:tr>
        <w:trPr>
          <w:cantSplit w:val="true"/>
        </w:trPr>
        <w:tc>
          <w:tcPr>
            <w:tcW w:type="dxa" w:w="2041"/>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FIRS / LIRS queries</w:t>
            </w:r>
          </w:p>
        </w:tc>
        <w:tc>
          <w:tcPr>
            <w:tcW w:type="dxa" w:w="136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As they arise</w:t>
            </w:r>
          </w:p>
        </w:tc>
        <w:tc>
          <w:tcPr>
            <w:tcW w:type="dxa" w:w="5896"/>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Assessments, objections, waiver requests and audit support — we sit in the meeting, not just send the letter</w:t>
            </w:r>
          </w:p>
        </w:tc>
      </w:tr>
    </w:tbl>
    <w:p>
      <w:pPr>
        <w:spacing w:before="0" w:after="0" w:line="240" w:lineRule="auto"/>
      </w:pPr>
      <w:r>
        <w:rPr>
          <w:rFonts w:ascii="Calibri" w:hAnsi="Calibri"/>
          <w:b w:val="0"/>
          <w:i w:val="0"/>
          <w:sz w:val="8"/>
        </w:rPr>
      </w:r>
    </w:p>
    <w:p>
      <w:pPr>
        <w:keepNext/>
        <w:spacing w:before="0" w:after="60"/>
      </w:pPr>
      <w:r>
        <w:rPr>
          <w:rFonts w:ascii="Calibri" w:hAnsi="Calibri"/>
          <w:b/>
          <w:i w:val="0"/>
          <w:color w:val="1B3A2F"/>
          <w:sz w:val="21"/>
        </w:rPr>
        <w:t>The first 90 days: a tax health check, not a lecture</w:t>
      </w:r>
    </w:p>
    <w:p>
      <w:pPr>
        <w:spacing w:before="0" w:after="100" w:line="307" w:lineRule="auto"/>
      </w:pPr>
      <w:r>
        <w:rPr>
          <w:rFonts w:ascii="Calibri" w:hAnsi="Calibri"/>
          <w:b w:val="0"/>
          <w:i w:val="0"/>
          <w:color w:val="5C5C5C"/>
          <w:sz w:val="21"/>
        </w:rPr>
        <w:t>Before we file anything new, we reconcile what has already happened — FY2023 to FY2025 — against your audited accounts and the master workbook.</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Returns vs accounts: </w:t>
      </w:r>
      <w:r>
        <w:rPr>
          <w:rFonts w:ascii="Calibri" w:hAnsi="Calibri"/>
          <w:b w:val="0"/>
          <w:i w:val="0"/>
          <w:color w:val="5C5C5C"/>
          <w:sz w:val="21"/>
        </w:rPr>
        <w:t>reconcile every tax return to the audited figures, explain every variance, and quantify exposure before FIRS does.</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WHT credits: </w:t>
      </w:r>
      <w:r>
        <w:rPr>
          <w:rFonts w:ascii="Calibri" w:hAnsi="Calibri"/>
          <w:b w:val="0"/>
          <w:i w:val="0"/>
          <w:color w:val="5C5C5C"/>
          <w:sz w:val="21"/>
        </w:rPr>
        <w:t>claim the ₦1.3 million-plus already deducted by clients, and fix the control so it does not recur.</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Payroll and vendor taxes: </w:t>
      </w:r>
      <w:r>
        <w:rPr>
          <w:rFonts w:ascii="Calibri" w:hAnsi="Calibri"/>
          <w:b w:val="0"/>
          <w:i w:val="0"/>
          <w:color w:val="5C5C5C"/>
          <w:sz w:val="21"/>
        </w:rPr>
        <w:t>bring PAYE, pension and WHT on vendors up to date, with a clean schedule for each authority.</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VAT mapping: </w:t>
      </w:r>
      <w:r>
        <w:rPr>
          <w:rFonts w:ascii="Calibri" w:hAnsi="Calibri"/>
          <w:b w:val="0"/>
          <w:i w:val="0"/>
          <w:color w:val="5C5C5C"/>
          <w:sz w:val="21"/>
        </w:rPr>
        <w:t>separate exempt land sales from taxable construction revenue, invoice by invoice, so you stop over-declaring VAT.</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Allowances and deferral: </w:t>
      </w:r>
      <w:r>
        <w:rPr>
          <w:rFonts w:ascii="Calibri" w:hAnsi="Calibri"/>
          <w:b w:val="0"/>
          <w:i w:val="0"/>
          <w:color w:val="5C5C5C"/>
          <w:sz w:val="21"/>
        </w:rPr>
        <w:t>capital allowances on ₦3.6 million of 2025 additions, and a deferred tax position that ties to the accounts.</w:t>
      </w:r>
    </w:p>
    <w:p>
      <w:pPr>
        <w:spacing w:before="0" w:after="0" w:line="240" w:lineRule="auto"/>
      </w:pPr>
      <w:r>
        <w:rPr>
          <w:rFonts w:ascii="Calibri" w:hAnsi="Calibri"/>
          <w:b w:val="0"/>
          <w:i w:val="0"/>
          <w:sz w:val="4"/>
        </w:rPr>
      </w:r>
    </w:p>
    <w:tbl>
      <w:tblPr>
        <w:tblW w:w="9298" w:type="dxa"/>
        <w:jc w:val="center"/>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left w:val="single" w:sz="24" w:space="0" w:color="B08A3E"/>
              <w:top w:val="nil"/>
              <w:bottom w:val="nil"/>
              <w:right w:val="nil"/>
            </w:tcBorders>
            <w:shd w:val="clear" w:color="auto" w:fill="F6F3EC"/>
            <w:tcMar>
              <w:top w:w="170" w:type="dxa"/>
              <w:left w:w="230" w:type="dxa"/>
              <w:bottom w:w="170" w:type="dxa"/>
              <w:right w:w="230" w:type="dxa"/>
            </w:tcMar>
          </w:tcPr>
          <w:p>
            <w:pPr>
              <w:spacing w:before="0" w:after="40" w:line="269" w:lineRule="auto"/>
            </w:pPr>
            <w:r>
              <w:rPr>
                <w:rFonts w:ascii="Calibri" w:hAnsi="Calibri"/>
                <w:b/>
                <w:i w:val="0"/>
                <w:color w:val="B08A3E"/>
                <w:spacing w:val="26"/>
                <w:sz w:val="15"/>
              </w:rPr>
              <w:t>OUR PROMISE ON DEADLINES</w:t>
            </w:r>
          </w:p>
          <w:p>
            <w:pPr>
              <w:spacing w:before="0" w:after="0" w:line="293" w:lineRule="auto"/>
            </w:pPr>
            <w:r>
              <w:rPr>
                <w:rFonts w:ascii="Calibri" w:hAnsi="Calibri"/>
                <w:b w:val="0"/>
                <w:i w:val="0"/>
                <w:color w:val="5C5C5C"/>
                <w:sz w:val="19"/>
              </w:rPr>
              <w:t>If a filing is late because of us, that month’s fee is waived and any penalty or interest arising from our delay is borne by us. We would rather put that in writing than in a brochure.</w:t>
            </w:r>
          </w:p>
        </w:tc>
      </w:tr>
    </w:tbl>
    <w:p>
      <w:pPr>
        <w:spacing w:before="0" w:after="0" w:line="240" w:lineRule="auto"/>
      </w:pPr>
      <w:r>
        <w:rPr>
          <w:rFonts w:ascii="Calibri" w:hAnsi="Calibri"/>
          <w:b w:val="0"/>
          <w:i w:val="0"/>
          <w:sz w:val="16"/>
        </w:rPr>
      </w:r>
    </w:p>
    <w:p>
      <w:r>
        <w:br w:type="page"/>
      </w:r>
    </w:p>
    <w:p>
      <w:pPr>
        <w:keepNext/>
        <w:pBdr>
          <w:bottom w:val="single" w:sz="8" w:space="4" w:color="B08A3E"/>
        </w:pBdr>
        <w:spacing w:before="0" w:after="180"/>
      </w:pPr>
      <w:r>
        <w:rPr>
          <w:rFonts w:ascii="Calibri" w:hAnsi="Calibri"/>
          <w:b/>
          <w:i w:val="0"/>
          <w:color w:val="B08A3E"/>
          <w:spacing w:val="24"/>
          <w:sz w:val="18"/>
        </w:rPr>
        <w:t xml:space="preserve">06   </w:t>
      </w:r>
      <w:r>
        <w:rPr>
          <w:rFonts w:ascii="Georgia" w:hAnsi="Georgia"/>
          <w:b/>
          <w:i w:val="0"/>
          <w:color w:val="1B3A2F"/>
          <w:spacing w:val="12"/>
          <w:sz w:val="27"/>
        </w:rPr>
        <w:t>FEES, AND WHAT THEY BUY</w:t>
      </w:r>
    </w:p>
    <w:p>
      <w:pPr>
        <w:spacing w:before="0" w:after="200" w:line="307" w:lineRule="auto"/>
      </w:pPr>
      <w:r>
        <w:rPr>
          <w:rFonts w:ascii="Calibri" w:hAnsi="Calibri"/>
          <w:b w:val="0"/>
          <w:i w:val="0"/>
          <w:color w:val="5C5C5C"/>
          <w:sz w:val="21"/>
        </w:rPr>
        <w:t>Two services, priced separately so the Board can approve them separately. All figures are in Nigerian Naira and exclude VAT at 7.5%.</w:t>
      </w:r>
    </w:p>
    <w:tbl>
      <w:tblPr>
        <w:tblW w:w="9297" w:type="dxa"/>
        <w:jc w:val="center"/>
        <w:tblBorders>
          <w:top w:val="single" w:sz="4" w:space="0" w:color="D9D3C6"/>
          <w:left w:val="single" w:sz="4" w:space="0" w:color="D9D3C6"/>
          <w:bottom w:val="single" w:sz="4" w:space="0" w:color="D9D3C6"/>
          <w:right w:val="single" w:sz="4" w:space="0" w:color="D9D3C6"/>
          <w:insideH w:val="single" w:sz="4" w:space="0" w:color="D9D3C6"/>
          <w:insideV w:val="single" w:sz="4" w:space="0" w:color="D9D3C6"/>
        </w:tblBorders>
        <w:tblLayout w:type="fixed"/>
        <w:tblLook w:firstColumn="1" w:firstRow="1" w:lastColumn="0" w:lastRow="0" w:noHBand="0" w:noVBand="1" w:val="04A0"/>
      </w:tblPr>
      <w:tblGrid>
        <w:gridCol w:w="3515"/>
        <w:gridCol w:w="2891"/>
        <w:gridCol w:w="2891"/>
      </w:tblGrid>
      <w:tr>
        <w:trPr>
          <w:tblHeader w:val="true"/>
        </w:trPr>
        <w:tc>
          <w:tcPr>
            <w:tcW w:type="dxa" w:w="3515"/>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SERVICE</w:t>
            </w:r>
          </w:p>
        </w:tc>
        <w:tc>
          <w:tcPr>
            <w:tcW w:type="dxa" w:w="2891"/>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FEE</w:t>
            </w:r>
          </w:p>
        </w:tc>
        <w:tc>
          <w:tcPr>
            <w:tcW w:type="dxa" w:w="2891"/>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STRUCTURE</w:t>
            </w:r>
          </w:p>
        </w:tc>
      </w:tr>
      <w:tr>
        <w:tc>
          <w:tcPr>
            <w:tcW w:type="dxa" w:w="3515"/>
            <w:tcMar>
              <w:top w:w="80" w:type="dxa"/>
              <w:left w:w="110" w:type="dxa"/>
              <w:bottom w:w="80" w:type="dxa"/>
              <w:right w:w="110" w:type="dxa"/>
            </w:tcMar>
            <w:vAlign w:val="center"/>
          </w:tcPr>
          <w:p>
            <w:pPr>
              <w:spacing w:before="0" w:after="0" w:line="278" w:lineRule="auto"/>
            </w:pPr>
            <w:r>
              <w:rPr>
                <w:rFonts w:ascii="Calibri" w:hAnsi="Calibri"/>
                <w:b/>
                <w:i w:val="0"/>
                <w:color w:val="1B3A2F"/>
                <w:sz w:val="18"/>
              </w:rPr>
              <w:t>Zoho Books implementation</w:t>
            </w:r>
          </w:p>
        </w:tc>
        <w:tc>
          <w:tcPr>
            <w:tcW w:type="dxa" w:w="2891"/>
            <w:tcMar>
              <w:top w:w="80" w:type="dxa"/>
              <w:left w:w="110" w:type="dxa"/>
              <w:bottom w:w="80" w:type="dxa"/>
              <w:right w:w="110" w:type="dxa"/>
            </w:tcMar>
            <w:vAlign w:val="center"/>
          </w:tcPr>
          <w:p>
            <w:pPr>
              <w:spacing w:before="0" w:after="0" w:line="278" w:lineRule="auto"/>
            </w:pPr>
            <w:r>
              <w:rPr>
                <w:rFonts w:ascii="Calibri" w:hAnsi="Calibri"/>
                <w:b/>
                <w:i w:val="0"/>
                <w:color w:val="B08A3E"/>
                <w:sz w:val="18"/>
              </w:rPr>
              <w:t>₦2,500,000</w:t>
            </w:r>
          </w:p>
        </w:tc>
        <w:tc>
          <w:tcPr>
            <w:tcW w:type="dxa" w:w="2891"/>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Fixed fee · 8 weeks</w:t>
            </w:r>
          </w:p>
        </w:tc>
      </w:tr>
      <w:tr>
        <w:tc>
          <w:tcPr>
            <w:tcW w:type="dxa" w:w="3515"/>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8"/>
              </w:rPr>
              <w:t>Tax health check (FY2023–2025)</w:t>
            </w:r>
          </w:p>
        </w:tc>
        <w:tc>
          <w:tcPr>
            <w:tcW w:type="dxa" w:w="2891"/>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B08A3E"/>
                <w:sz w:val="18"/>
              </w:rPr>
              <w:t>₦1,500,000</w:t>
            </w:r>
          </w:p>
        </w:tc>
        <w:tc>
          <w:tcPr>
            <w:tcW w:type="dxa" w:w="289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One-off · waived on Option B</w:t>
            </w:r>
          </w:p>
        </w:tc>
      </w:tr>
    </w:tbl>
    <w:p>
      <w:pPr>
        <w:spacing w:before="0" w:after="0" w:line="240" w:lineRule="auto"/>
      </w:pPr>
      <w:r>
        <w:rPr>
          <w:rFonts w:ascii="Calibri" w:hAnsi="Calibri"/>
          <w:b w:val="0"/>
          <w:i w:val="0"/>
          <w:sz w:val="20"/>
        </w:rPr>
      </w:r>
    </w:p>
    <w:p>
      <w:pPr>
        <w:keepNext/>
        <w:spacing w:before="40" w:after="60"/>
      </w:pPr>
      <w:r>
        <w:rPr>
          <w:rFonts w:ascii="Calibri" w:hAnsi="Calibri"/>
          <w:b/>
          <w:i w:val="0"/>
          <w:color w:val="1B3A2F"/>
          <w:sz w:val="21"/>
        </w:rPr>
        <w:t>Tax compliance retainer — choose one</w:t>
      </w:r>
    </w:p>
    <w:tbl>
      <w:tblPr>
        <w:tblW w:w="9298" w:type="dxa"/>
        <w:jc w:val="center"/>
        <w:tblBorders>
          <w:top w:val="single" w:sz="4" w:space="0" w:color="D9D3C6"/>
          <w:left w:val="single" w:sz="4" w:space="0" w:color="D9D3C6"/>
          <w:bottom w:val="single" w:sz="4" w:space="0" w:color="D9D3C6"/>
          <w:right w:val="single" w:sz="4" w:space="0" w:color="D9D3C6"/>
          <w:insideH w:val="single" w:sz="4" w:space="0" w:color="D9D3C6"/>
          <w:insideV w:val="single" w:sz="4" w:space="0" w:color="D9D3C6"/>
        </w:tblBorders>
        <w:tblLayout w:type="fixed"/>
        <w:tblLook w:firstColumn="1" w:firstRow="1" w:lastColumn="0" w:lastRow="0" w:noHBand="0" w:noVBand="1" w:val="04A0"/>
      </w:tblPr>
      <w:tblGrid>
        <w:gridCol w:w="2268"/>
        <w:gridCol w:w="3175"/>
        <w:gridCol w:w="3855"/>
      </w:tblGrid>
      <w:tr>
        <w:trPr>
          <w:tblHeader w:val="true"/>
        </w:trPr>
        <w:tc>
          <w:tcPr>
            <w:tcW w:type="dxa" w:w="2268"/>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WHAT YOU GET</w:t>
            </w:r>
          </w:p>
        </w:tc>
        <w:tc>
          <w:tcPr>
            <w:tcW w:type="dxa" w:w="3175"/>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OPTION A · COMPLIANCE CORE</w:t>
            </w:r>
          </w:p>
        </w:tc>
        <w:tc>
          <w:tcPr>
            <w:tcW w:type="dxa" w:w="3855"/>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OPTION B · COMPLIANCE + ADVISORY (RECOMMENDED)</w:t>
            </w:r>
          </w:p>
        </w:tc>
      </w:tr>
      <w:tr>
        <w:trPr>
          <w:cantSplit w:val="true"/>
        </w:trPr>
        <w:tc>
          <w:tcPr>
            <w:tcW w:type="dxa" w:w="2268"/>
            <w:tcMar>
              <w:top w:w="80" w:type="dxa"/>
              <w:left w:w="110" w:type="dxa"/>
              <w:bottom w:w="80" w:type="dxa"/>
              <w:right w:w="110" w:type="dxa"/>
            </w:tcMar>
            <w:vAlign w:val="center"/>
          </w:tcPr>
          <w:p>
            <w:pPr>
              <w:spacing w:before="0" w:after="0" w:line="278" w:lineRule="auto"/>
            </w:pPr>
            <w:r>
              <w:rPr>
                <w:rFonts w:ascii="Calibri" w:hAnsi="Calibri"/>
                <w:b/>
                <w:i w:val="0"/>
                <w:color w:val="1B3A2F"/>
                <w:sz w:val="17"/>
              </w:rPr>
              <w:t>Monthly fee</w:t>
            </w:r>
          </w:p>
        </w:tc>
        <w:tc>
          <w:tcPr>
            <w:tcW w:type="dxa" w:w="3175"/>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₦250,000</w:t>
            </w:r>
          </w:p>
        </w:tc>
        <w:tc>
          <w:tcPr>
            <w:tcW w:type="dxa" w:w="3855"/>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₦400,000</w:t>
            </w:r>
          </w:p>
        </w:tc>
      </w:tr>
      <w:tr>
        <w:trPr>
          <w:cantSplit w:val="true"/>
        </w:trPr>
        <w:tc>
          <w:tcPr>
            <w:tcW w:type="dxa" w:w="2268"/>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Annual equivalent</w:t>
            </w:r>
          </w:p>
        </w:tc>
        <w:tc>
          <w:tcPr>
            <w:tcW w:type="dxa" w:w="3175"/>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₦3,000,000</w:t>
            </w:r>
          </w:p>
        </w:tc>
        <w:tc>
          <w:tcPr>
            <w:tcW w:type="dxa" w:w="3855"/>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₦4,800,000</w:t>
            </w:r>
          </w:p>
        </w:tc>
      </w:tr>
      <w:tr>
        <w:trPr>
          <w:cantSplit w:val="true"/>
        </w:trPr>
        <w:tc>
          <w:tcPr>
            <w:tcW w:type="dxa" w:w="2268"/>
            <w:tcMar>
              <w:top w:w="80" w:type="dxa"/>
              <w:left w:w="110" w:type="dxa"/>
              <w:bottom w:w="80" w:type="dxa"/>
              <w:right w:w="110" w:type="dxa"/>
            </w:tcMar>
            <w:vAlign w:val="center"/>
          </w:tcPr>
          <w:p>
            <w:pPr>
              <w:spacing w:before="0" w:after="0" w:line="278" w:lineRule="auto"/>
            </w:pPr>
            <w:r>
              <w:rPr>
                <w:rFonts w:ascii="Calibri" w:hAnsi="Calibri"/>
                <w:b/>
                <w:i w:val="0"/>
                <w:color w:val="1B3A2F"/>
                <w:sz w:val="17"/>
              </w:rPr>
              <w:t>VAT, WHT, PAYE</w:t>
            </w:r>
          </w:p>
        </w:tc>
        <w:tc>
          <w:tcPr>
            <w:tcW w:type="dxa" w:w="3175"/>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Preparation, filing, remittance</w:t>
            </w:r>
          </w:p>
        </w:tc>
        <w:tc>
          <w:tcPr>
            <w:tcW w:type="dxa" w:w="3855"/>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Preparation, filing, remittance</w:t>
            </w:r>
          </w:p>
        </w:tc>
      </w:tr>
      <w:tr>
        <w:trPr>
          <w:cantSplit w:val="true"/>
        </w:trPr>
        <w:tc>
          <w:tcPr>
            <w:tcW w:type="dxa" w:w="2268"/>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CIT, TET, PTF, NASENI</w:t>
            </w:r>
          </w:p>
        </w:tc>
        <w:tc>
          <w:tcPr>
            <w:tcW w:type="dxa" w:w="3175"/>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Annual return and schedules</w:t>
            </w:r>
          </w:p>
        </w:tc>
        <w:tc>
          <w:tcPr>
            <w:tcW w:type="dxa" w:w="3855"/>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Annual return, planning and position paper</w:t>
            </w:r>
          </w:p>
        </w:tc>
      </w:tr>
      <w:tr>
        <w:trPr>
          <w:cantSplit w:val="true"/>
        </w:trPr>
        <w:tc>
          <w:tcPr>
            <w:tcW w:type="dxa" w:w="2268"/>
            <w:tcMar>
              <w:top w:w="80" w:type="dxa"/>
              <w:left w:w="110" w:type="dxa"/>
              <w:bottom w:w="80" w:type="dxa"/>
              <w:right w:w="110" w:type="dxa"/>
            </w:tcMar>
            <w:vAlign w:val="center"/>
          </w:tcPr>
          <w:p>
            <w:pPr>
              <w:spacing w:before="0" w:after="0" w:line="278" w:lineRule="auto"/>
            </w:pPr>
            <w:r>
              <w:rPr>
                <w:rFonts w:ascii="Calibri" w:hAnsi="Calibri"/>
                <w:b/>
                <w:i w:val="0"/>
                <w:color w:val="1B3A2F"/>
                <w:sz w:val="17"/>
              </w:rPr>
              <w:t>Tax health check</w:t>
            </w:r>
          </w:p>
        </w:tc>
        <w:tc>
          <w:tcPr>
            <w:tcW w:type="dxa" w:w="3175"/>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Billed separately at ₦1,500,000</w:t>
            </w:r>
          </w:p>
        </w:tc>
        <w:tc>
          <w:tcPr>
            <w:tcW w:type="dxa" w:w="3855"/>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Included — fee waived</w:t>
            </w:r>
          </w:p>
        </w:tc>
      </w:tr>
      <w:tr>
        <w:trPr>
          <w:cantSplit w:val="true"/>
        </w:trPr>
        <w:tc>
          <w:tcPr>
            <w:tcW w:type="dxa" w:w="2268"/>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Quarterly tax review</w:t>
            </w:r>
          </w:p>
        </w:tc>
        <w:tc>
          <w:tcPr>
            <w:tcW w:type="dxa" w:w="3175"/>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w:t>
            </w:r>
          </w:p>
        </w:tc>
        <w:tc>
          <w:tcPr>
            <w:tcW w:type="dxa" w:w="3855"/>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Board-ready review with cash tax forecast</w:t>
            </w:r>
          </w:p>
        </w:tc>
      </w:tr>
      <w:tr>
        <w:trPr>
          <w:cantSplit w:val="true"/>
        </w:trPr>
        <w:tc>
          <w:tcPr>
            <w:tcW w:type="dxa" w:w="2268"/>
            <w:tcMar>
              <w:top w:w="80" w:type="dxa"/>
              <w:left w:w="110" w:type="dxa"/>
              <w:bottom w:w="80" w:type="dxa"/>
              <w:right w:w="110" w:type="dxa"/>
            </w:tcMar>
            <w:vAlign w:val="center"/>
          </w:tcPr>
          <w:p>
            <w:pPr>
              <w:spacing w:before="0" w:after="0" w:line="278" w:lineRule="auto"/>
            </w:pPr>
            <w:r>
              <w:rPr>
                <w:rFonts w:ascii="Calibri" w:hAnsi="Calibri"/>
                <w:b/>
                <w:i w:val="0"/>
                <w:color w:val="1B3A2F"/>
                <w:sz w:val="17"/>
              </w:rPr>
              <w:t>FIRS / LIRS audit support</w:t>
            </w:r>
          </w:p>
        </w:tc>
        <w:tc>
          <w:tcPr>
            <w:tcW w:type="dxa" w:w="3175"/>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Per diem, quoted</w:t>
            </w:r>
          </w:p>
        </w:tc>
        <w:tc>
          <w:tcPr>
            <w:tcW w:type="dxa" w:w="3855"/>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Included, up to 10 days a year</w:t>
            </w:r>
          </w:p>
        </w:tc>
      </w:tr>
      <w:tr>
        <w:trPr>
          <w:cantSplit w:val="true"/>
        </w:trPr>
        <w:tc>
          <w:tcPr>
            <w:tcW w:type="dxa" w:w="2268"/>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Contract &amp; JV tax advice</w:t>
            </w:r>
          </w:p>
        </w:tc>
        <w:tc>
          <w:tcPr>
            <w:tcW w:type="dxa" w:w="3175"/>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w:t>
            </w:r>
          </w:p>
        </w:tc>
        <w:tc>
          <w:tcPr>
            <w:tcW w:type="dxa" w:w="3855"/>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Included for up to two mandates a quarter</w:t>
            </w:r>
          </w:p>
        </w:tc>
      </w:tr>
    </w:tbl>
    <w:p>
      <w:pPr>
        <w:spacing w:before="0" w:after="0" w:line="240" w:lineRule="auto"/>
      </w:pPr>
      <w:r>
        <w:rPr>
          <w:rFonts w:ascii="Calibri" w:hAnsi="Calibri"/>
          <w:b w:val="0"/>
          <w:i w:val="0"/>
          <w:sz w:val="12"/>
        </w:rPr>
      </w:r>
    </w:p>
    <w:p>
      <w:pPr>
        <w:spacing w:before="0" w:after="160" w:line="307" w:lineRule="auto"/>
      </w:pPr>
      <w:r>
        <w:rPr>
          <w:rFonts w:ascii="Calibri" w:hAnsi="Calibri"/>
          <w:b w:val="0"/>
          <w:i/>
          <w:color w:val="1B3A2F"/>
          <w:sz w:val="19"/>
        </w:rPr>
        <w:t>Year one, Option B: ₦2,500,000 + ₦4,800,000 = ₦7,300,000, all in — the health check is absorbed.</w:t>
      </w:r>
    </w:p>
    <w:p>
      <w:pPr>
        <w:keepNext/>
        <w:spacing w:before="40" w:after="60"/>
      </w:pPr>
      <w:r>
        <w:rPr>
          <w:rFonts w:ascii="Calibri" w:hAnsi="Calibri"/>
          <w:b/>
          <w:i w:val="0"/>
          <w:color w:val="1B3A2F"/>
          <w:sz w:val="21"/>
        </w:rPr>
        <w:t>Payment terms and exclusions</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Zoho Books: </w:t>
      </w:r>
      <w:r>
        <w:rPr>
          <w:rFonts w:ascii="Calibri" w:hAnsi="Calibri"/>
          <w:b w:val="0"/>
          <w:i w:val="0"/>
          <w:color w:val="5C5C5C"/>
          <w:sz w:val="21"/>
        </w:rPr>
        <w:t>40% on engagement letter, 30% on configuration sign-off, 30% on go-live. Invoiced in naira, payable within 14 days.</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Retainer: </w:t>
      </w:r>
      <w:r>
        <w:rPr>
          <w:rFonts w:ascii="Calibri" w:hAnsi="Calibri"/>
          <w:b w:val="0"/>
          <w:i w:val="0"/>
          <w:color w:val="5C5C5C"/>
          <w:sz w:val="21"/>
        </w:rPr>
        <w:t>monthly in advance, starting with the first filing cycle after signature.</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Health check: </w:t>
      </w:r>
      <w:r>
        <w:rPr>
          <w:rFonts w:ascii="Calibri" w:hAnsi="Calibri"/>
          <w:b w:val="0"/>
          <w:i w:val="0"/>
          <w:color w:val="5C5C5C"/>
          <w:sz w:val="21"/>
        </w:rPr>
        <w:t>₦750,000 on signature, ₦750,000 on delivery of the report (waived under Option B).</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Not included: </w:t>
      </w:r>
      <w:r>
        <w:rPr>
          <w:rFonts w:ascii="Calibri" w:hAnsi="Calibri"/>
          <w:b w:val="0"/>
          <w:i w:val="0"/>
          <w:color w:val="5C5C5C"/>
          <w:sz w:val="21"/>
        </w:rPr>
        <w:t>Zoho subscription paid directly by Baay to Zoho; statutory taxes, penalties and interest arising before this engagement; external legal counsel; travel outside Lagos.</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Included by default: </w:t>
      </w:r>
      <w:r>
        <w:rPr>
          <w:rFonts w:ascii="Calibri" w:hAnsi="Calibri"/>
          <w:b w:val="0"/>
          <w:i w:val="0"/>
          <w:color w:val="5C5C5C"/>
          <w:sz w:val="21"/>
        </w:rPr>
        <w:t>if FIRS or a state authority raises an assessment on a period we managed, we handle the response within the retainer.</w:t>
      </w:r>
    </w:p>
    <w:p>
      <w:pPr>
        <w:spacing w:before="0" w:after="0" w:line="240" w:lineRule="auto"/>
      </w:pPr>
      <w:r>
        <w:rPr>
          <w:rFonts w:ascii="Calibri" w:hAnsi="Calibri"/>
          <w:b w:val="0"/>
          <w:i w:val="0"/>
          <w:sz w:val="12"/>
        </w:rPr>
      </w:r>
    </w:p>
    <w:tbl>
      <w:tblPr>
        <w:tblW w:w="9298" w:type="dxa"/>
        <w:jc w:val="center"/>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left w:val="single" w:sz="24" w:space="0" w:color="B08A3E"/>
              <w:top w:val="nil"/>
              <w:bottom w:val="nil"/>
              <w:right w:val="nil"/>
            </w:tcBorders>
            <w:shd w:val="clear" w:color="auto" w:fill="F6F3EC"/>
            <w:tcMar>
              <w:top w:w="170" w:type="dxa"/>
              <w:left w:w="230" w:type="dxa"/>
              <w:bottom w:w="170" w:type="dxa"/>
              <w:right w:w="230" w:type="dxa"/>
            </w:tcMar>
          </w:tcPr>
          <w:p>
            <w:pPr>
              <w:spacing w:before="0" w:after="40" w:line="269" w:lineRule="auto"/>
            </w:pPr>
            <w:r>
              <w:rPr>
                <w:rFonts w:ascii="Calibri" w:hAnsi="Calibri"/>
                <w:b/>
                <w:i w:val="0"/>
                <w:color w:val="B08A3E"/>
                <w:spacing w:val="26"/>
                <w:sz w:val="15"/>
              </w:rPr>
              <w:t>THE COMMERCIAL CASE IN ONE LINE</w:t>
            </w:r>
          </w:p>
          <w:p>
            <w:pPr>
              <w:spacing w:before="0" w:after="0" w:line="293" w:lineRule="auto"/>
            </w:pPr>
            <w:r>
              <w:rPr>
                <w:rFonts w:ascii="Calibri" w:hAnsi="Calibri"/>
                <w:b w:val="0"/>
                <w:i w:val="0"/>
                <w:color w:val="5C5C5C"/>
                <w:sz w:val="20"/>
              </w:rPr>
              <w:t>The Zoho build costs less than six months of the manual effort it removes — and the tax retainer is covered by the ₦1.3 million of WHT credits we expect to recover in the first quarter, before counting a single penalty avoided.</w:t>
            </w:r>
          </w:p>
        </w:tc>
      </w:tr>
    </w:tbl>
    <w:p>
      <w:pPr>
        <w:spacing w:before="0" w:after="0" w:line="240" w:lineRule="auto"/>
      </w:pPr>
      <w:r>
        <w:rPr>
          <w:rFonts w:ascii="Calibri" w:hAnsi="Calibri"/>
          <w:b w:val="0"/>
          <w:i w:val="0"/>
          <w:sz w:val="16"/>
        </w:rPr>
      </w:r>
    </w:p>
    <w:p>
      <w:r>
        <w:br w:type="page"/>
      </w:r>
    </w:p>
    <w:p>
      <w:pPr>
        <w:keepNext/>
        <w:pBdr>
          <w:bottom w:val="single" w:sz="8" w:space="4" w:color="B08A3E"/>
        </w:pBdr>
        <w:spacing w:before="0" w:after="180"/>
      </w:pPr>
      <w:r>
        <w:rPr>
          <w:rFonts w:ascii="Calibri" w:hAnsi="Calibri"/>
          <w:b/>
          <w:i w:val="0"/>
          <w:color w:val="B08A3E"/>
          <w:spacing w:val="24"/>
          <w:sz w:val="18"/>
        </w:rPr>
        <w:t xml:space="preserve">07   </w:t>
      </w:r>
      <w:r>
        <w:rPr>
          <w:rFonts w:ascii="Georgia" w:hAnsi="Georgia"/>
          <w:b/>
          <w:i w:val="0"/>
          <w:color w:val="1B3A2F"/>
          <w:spacing w:val="12"/>
          <w:sz w:val="27"/>
        </w:rPr>
        <w:t>WHY THIS TEAM, AND HOW WE WILL BEHAVE</w:t>
      </w:r>
    </w:p>
    <w:p>
      <w:pPr>
        <w:keepNext/>
        <w:spacing w:before="40" w:after="60"/>
      </w:pPr>
      <w:r>
        <w:rPr>
          <w:rFonts w:ascii="Calibri" w:hAnsi="Calibri"/>
          <w:b/>
          <w:i w:val="0"/>
          <w:color w:val="1B3A2F"/>
          <w:sz w:val="21"/>
        </w:rPr>
        <w:t>We already know the file</w:t>
      </w:r>
    </w:p>
    <w:p>
      <w:pPr>
        <w:spacing w:before="0" w:after="160" w:line="307" w:lineRule="auto"/>
      </w:pPr>
      <w:r>
        <w:rPr>
          <w:rFonts w:ascii="Calibri" w:hAnsi="Calibri"/>
          <w:b w:val="0"/>
          <w:i w:val="0"/>
          <w:color w:val="5C5C5C"/>
          <w:sz w:val="21"/>
        </w:rPr>
        <w:t>Most implementation partners spend the first month discovering what Baay does. We have already mapped your nine estates, your four banks, your IFRS 15 revenue model, your tax computations and the 12 control checks your workbook passes. That familiarity is worth three to four weeks of fees and, more importantly, it removes the biggest migration risk: rebuilding a chart of accounts that does not match the audited statements.</w:t>
      </w:r>
    </w:p>
    <w:p>
      <w:pPr>
        <w:keepNext/>
        <w:spacing w:before="40" w:after="60"/>
      </w:pPr>
      <w:r>
        <w:rPr>
          <w:rFonts w:ascii="Calibri" w:hAnsi="Calibri"/>
          <w:b/>
          <w:i w:val="0"/>
          <w:color w:val="1B3A2F"/>
          <w:sz w:val="21"/>
        </w:rPr>
        <w:t>The team</w:t>
      </w:r>
    </w:p>
    <w:tbl>
      <w:tblPr>
        <w:tblW w:w="9297" w:type="dxa"/>
        <w:jc w:val="center"/>
        <w:tblBorders>
          <w:top w:val="single" w:sz="4" w:space="0" w:color="D9D3C6"/>
          <w:left w:val="single" w:sz="4" w:space="0" w:color="D9D3C6"/>
          <w:bottom w:val="single" w:sz="4" w:space="0" w:color="D9D3C6"/>
          <w:right w:val="single" w:sz="4" w:space="0" w:color="D9D3C6"/>
          <w:insideH w:val="single" w:sz="4" w:space="0" w:color="D9D3C6"/>
          <w:insideV w:val="single" w:sz="4" w:space="0" w:color="D9D3C6"/>
        </w:tblBorders>
        <w:tblLayout w:type="fixed"/>
        <w:tblLook w:firstColumn="1" w:firstRow="1" w:lastColumn="0" w:lastRow="0" w:noHBand="0" w:noVBand="1" w:val="04A0"/>
      </w:tblPr>
      <w:tblGrid>
        <w:gridCol w:w="2494"/>
        <w:gridCol w:w="5102"/>
        <w:gridCol w:w="1701"/>
      </w:tblGrid>
      <w:tr>
        <w:trPr>
          <w:tblHeader w:val="true"/>
        </w:trPr>
        <w:tc>
          <w:tcPr>
            <w:tcW w:type="dxa" w:w="2494"/>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ROLE</w:t>
            </w:r>
          </w:p>
        </w:tc>
        <w:tc>
          <w:tcPr>
            <w:tcW w:type="dxa" w:w="5102"/>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WHAT THEY OWN</w:t>
            </w:r>
          </w:p>
        </w:tc>
        <w:tc>
          <w:tcPr>
            <w:tcW w:type="dxa" w:w="1701"/>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COMMITMENT</w:t>
            </w:r>
          </w:p>
        </w:tc>
      </w:tr>
      <w:tr>
        <w:trPr>
          <w:cantSplit w:val="true"/>
        </w:trPr>
        <w:tc>
          <w:tcPr>
            <w:tcW w:type="dxa" w:w="2494"/>
            <w:tcMar>
              <w:top w:w="80" w:type="dxa"/>
              <w:left w:w="110" w:type="dxa"/>
              <w:bottom w:w="80" w:type="dxa"/>
              <w:right w:w="110" w:type="dxa"/>
            </w:tcMar>
            <w:vAlign w:val="center"/>
          </w:tcPr>
          <w:p>
            <w:pPr>
              <w:spacing w:before="0" w:after="0" w:line="278" w:lineRule="auto"/>
            </w:pPr>
            <w:r>
              <w:rPr>
                <w:rFonts w:ascii="Calibri" w:hAnsi="Calibri"/>
                <w:b/>
                <w:i w:val="0"/>
                <w:color w:val="1B3A2F"/>
                <w:sz w:val="17"/>
              </w:rPr>
              <w:t>Engagement partner (FCA)</w:t>
            </w:r>
          </w:p>
        </w:tc>
        <w:tc>
          <w:tcPr>
            <w:tcW w:type="dxa" w:w="5102"/>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Board relationship, sign-off, tax positions and FIRS escalations</w:t>
            </w:r>
          </w:p>
        </w:tc>
        <w:tc>
          <w:tcPr>
            <w:tcW w:type="dxa" w:w="170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Fortnightly review</w:t>
            </w:r>
          </w:p>
        </w:tc>
      </w:tr>
      <w:tr>
        <w:trPr>
          <w:cantSplit w:val="true"/>
        </w:trPr>
        <w:tc>
          <w:tcPr>
            <w:tcW w:type="dxa" w:w="2494"/>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Zoho implementation lead</w:t>
            </w:r>
          </w:p>
        </w:tc>
        <w:tc>
          <w:tcPr>
            <w:tcW w:type="dxa" w:w="5102"/>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Configuration, migration, integration, training, hypercare</w:t>
            </w:r>
          </w:p>
        </w:tc>
        <w:tc>
          <w:tcPr>
            <w:tcW w:type="dxa" w:w="170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Full-time, weeks 1–8</w:t>
            </w:r>
          </w:p>
        </w:tc>
      </w:tr>
      <w:tr>
        <w:trPr>
          <w:cantSplit w:val="true"/>
        </w:trPr>
        <w:tc>
          <w:tcPr>
            <w:tcW w:type="dxa" w:w="2494"/>
            <w:tcMar>
              <w:top w:w="80" w:type="dxa"/>
              <w:left w:w="110" w:type="dxa"/>
              <w:bottom w:w="80" w:type="dxa"/>
              <w:right w:w="110" w:type="dxa"/>
            </w:tcMar>
            <w:vAlign w:val="center"/>
          </w:tcPr>
          <w:p>
            <w:pPr>
              <w:spacing w:before="0" w:after="0" w:line="278" w:lineRule="auto"/>
            </w:pPr>
            <w:r>
              <w:rPr>
                <w:rFonts w:ascii="Calibri" w:hAnsi="Calibri"/>
                <w:b/>
                <w:i w:val="0"/>
                <w:color w:val="1B3A2F"/>
                <w:sz w:val="17"/>
              </w:rPr>
              <w:t>Chartered tax manager</w:t>
            </w:r>
          </w:p>
        </w:tc>
        <w:tc>
          <w:tcPr>
            <w:tcW w:type="dxa" w:w="5102"/>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VAT, WHT, PAYE, CIT and TET filings; health check; authority correspondence</w:t>
            </w:r>
          </w:p>
        </w:tc>
        <w:tc>
          <w:tcPr>
            <w:tcW w:type="dxa" w:w="170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Monthly cycle</w:t>
            </w:r>
          </w:p>
        </w:tc>
      </w:tr>
      <w:tr>
        <w:trPr>
          <w:cantSplit w:val="true"/>
        </w:trPr>
        <w:tc>
          <w:tcPr>
            <w:tcW w:type="dxa" w:w="2494"/>
            <w:shd w:val="clear" w:color="auto" w:fill="FBFAF6"/>
            <w:tcMar>
              <w:top w:w="80" w:type="dxa"/>
              <w:left w:w="110" w:type="dxa"/>
              <w:bottom w:w="80" w:type="dxa"/>
              <w:right w:w="110" w:type="dxa"/>
            </w:tcMar>
            <w:vAlign w:val="center"/>
          </w:tcPr>
          <w:p>
            <w:pPr>
              <w:spacing w:before="0" w:after="0" w:line="278" w:lineRule="auto"/>
            </w:pPr>
            <w:r>
              <w:rPr>
                <w:rFonts w:ascii="Calibri" w:hAnsi="Calibri"/>
                <w:b/>
                <w:i w:val="0"/>
                <w:color w:val="1B3A2F"/>
                <w:sz w:val="17"/>
              </w:rPr>
              <w:t>Data &amp; reporting analyst</w:t>
            </w:r>
          </w:p>
        </w:tc>
        <w:tc>
          <w:tcPr>
            <w:tcW w:type="dxa" w:w="5102"/>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Bank data, master data cleansing, dashboard build</w:t>
            </w:r>
          </w:p>
        </w:tc>
        <w:tc>
          <w:tcPr>
            <w:tcW w:type="dxa" w:w="170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Weeks 2–7</w:t>
            </w:r>
          </w:p>
        </w:tc>
      </w:tr>
      <w:tr>
        <w:trPr>
          <w:cantSplit w:val="true"/>
        </w:trPr>
        <w:tc>
          <w:tcPr>
            <w:tcW w:type="dxa" w:w="2494"/>
            <w:tcMar>
              <w:top w:w="80" w:type="dxa"/>
              <w:left w:w="110" w:type="dxa"/>
              <w:bottom w:w="80" w:type="dxa"/>
              <w:right w:w="110" w:type="dxa"/>
            </w:tcMar>
            <w:vAlign w:val="center"/>
          </w:tcPr>
          <w:p>
            <w:pPr>
              <w:spacing w:before="0" w:after="0" w:line="278" w:lineRule="auto"/>
            </w:pPr>
            <w:r>
              <w:rPr>
                <w:rFonts w:ascii="Calibri" w:hAnsi="Calibri"/>
                <w:b/>
                <w:i w:val="0"/>
                <w:color w:val="1B3A2F"/>
                <w:sz w:val="17"/>
              </w:rPr>
              <w:t>Quality reviewer</w:t>
            </w:r>
          </w:p>
        </w:tc>
        <w:tc>
          <w:tcPr>
            <w:tcW w:type="dxa" w:w="5102"/>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Independent check of the trial balance, tax schedules and SOPs before sign-off</w:t>
            </w:r>
          </w:p>
        </w:tc>
        <w:tc>
          <w:tcPr>
            <w:tcW w:type="dxa" w:w="1701"/>
            <w:tcMar>
              <w:top w:w="80" w:type="dxa"/>
              <w:left w:w="110" w:type="dxa"/>
              <w:bottom w:w="80" w:type="dxa"/>
              <w:right w:w="110" w:type="dxa"/>
            </w:tcMar>
            <w:vAlign w:val="center"/>
          </w:tcPr>
          <w:p>
            <w:pPr>
              <w:spacing w:before="0" w:after="0" w:line="278" w:lineRule="auto"/>
            </w:pPr>
            <w:r>
              <w:rPr>
                <w:rFonts w:ascii="Calibri" w:hAnsi="Calibri"/>
                <w:b w:val="0"/>
                <w:i w:val="0"/>
                <w:color w:val="5C5C5C"/>
                <w:sz w:val="17"/>
              </w:rPr>
              <w:t>Two gates</w:t>
            </w:r>
          </w:p>
        </w:tc>
      </w:tr>
    </w:tbl>
    <w:p>
      <w:pPr>
        <w:spacing w:before="0" w:after="0" w:line="240" w:lineRule="auto"/>
      </w:pPr>
      <w:r>
        <w:rPr>
          <w:rFonts w:ascii="Calibri" w:hAnsi="Calibri"/>
          <w:b w:val="0"/>
          <w:i w:val="0"/>
          <w:sz w:val="16"/>
        </w:rPr>
      </w:r>
    </w:p>
    <w:p>
      <w:pPr>
        <w:keepNext/>
        <w:spacing w:before="40" w:after="60"/>
      </w:pPr>
      <w:r>
        <w:rPr>
          <w:rFonts w:ascii="Calibri" w:hAnsi="Calibri"/>
          <w:b/>
          <w:i w:val="0"/>
          <w:color w:val="1B3A2F"/>
          <w:sz w:val="21"/>
        </w:rPr>
        <w:t>How we will work</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One point of contact: </w:t>
      </w:r>
      <w:r>
        <w:rPr>
          <w:rFonts w:ascii="Calibri" w:hAnsi="Calibri"/>
          <w:b w:val="0"/>
          <w:i w:val="0"/>
          <w:color w:val="5C5C5C"/>
          <w:sz w:val="21"/>
        </w:rPr>
        <w:t>a named person, reachable on WhatsApp and email, who knows your file.</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Weekly visibility: </w:t>
      </w:r>
      <w:r>
        <w:rPr>
          <w:rFonts w:ascii="Calibri" w:hAnsi="Calibri"/>
          <w:b w:val="0"/>
          <w:i w:val="0"/>
          <w:color w:val="5C5C5C"/>
          <w:sz w:val="21"/>
        </w:rPr>
        <w:t>a two-page note every Friday during implementation, and a one-page tax position every month after that.</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Capability transfer: </w:t>
      </w:r>
      <w:r>
        <w:rPr>
          <w:rFonts w:ascii="Calibri" w:hAnsi="Calibri"/>
          <w:b w:val="0"/>
          <w:i w:val="0"/>
          <w:color w:val="5C5C5C"/>
          <w:sz w:val="21"/>
        </w:rPr>
        <w:t>your accountant and client-relations team are trained alongside us, not after us. If we do our job, you will not need us for routine work.</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Independent review: </w:t>
      </w:r>
      <w:r>
        <w:rPr>
          <w:rFonts w:ascii="Calibri" w:hAnsi="Calibri"/>
          <w:b w:val="0"/>
          <w:i w:val="0"/>
          <w:color w:val="5C5C5C"/>
          <w:sz w:val="21"/>
        </w:rPr>
        <w:t>we do not sign off our own work. A second reviewer clears the trial balance and every tax position before it reaches the Board.</w:t>
      </w:r>
    </w:p>
    <w:p>
      <w:pPr>
        <w:spacing w:before="0" w:after="0" w:line="240" w:lineRule="auto"/>
      </w:pPr>
      <w:r>
        <w:rPr>
          <w:rFonts w:ascii="Calibri" w:hAnsi="Calibri"/>
          <w:b w:val="0"/>
          <w:i w:val="0"/>
          <w:sz w:val="16"/>
        </w:rPr>
      </w:r>
    </w:p>
    <w:tbl>
      <w:tblPr>
        <w:tblW w:w="9298" w:type="dxa"/>
        <w:jc w:val="center"/>
        <w:tblBorders>
          <w:top w:val="nil"/>
          <w:left w:val="nil"/>
          <w:bottom w:val="nil"/>
          <w:right w:val="nil"/>
          <w:insideH w:val="nil"/>
          <w:insideV w:val="nil"/>
        </w:tblBorders>
        <w:tblLayout w:type="fixed"/>
        <w:tblLook w:firstColumn="1" w:firstRow="1" w:lastColumn="0" w:lastRow="0" w:noHBand="0" w:noVBand="1" w:val="04A0"/>
      </w:tblPr>
      <w:tblGrid>
        <w:gridCol w:w="9298"/>
      </w:tblGrid>
      <w:tr>
        <w:tc>
          <w:tcPr>
            <w:tcW w:type="dxa" w:w="9298"/>
            <w:tcBorders>
              <w:left w:val="single" w:sz="24" w:space="0" w:color="B08A3E"/>
              <w:top w:val="nil"/>
              <w:bottom w:val="nil"/>
              <w:right w:val="nil"/>
            </w:tcBorders>
            <w:shd w:val="clear" w:color="auto" w:fill="F6F3EC"/>
            <w:tcMar>
              <w:top w:w="170" w:type="dxa"/>
              <w:left w:w="230" w:type="dxa"/>
              <w:bottom w:w="170" w:type="dxa"/>
              <w:right w:w="230" w:type="dxa"/>
            </w:tcMar>
          </w:tcPr>
          <w:p>
            <w:pPr>
              <w:spacing w:before="0" w:after="40" w:line="269" w:lineRule="auto"/>
            </w:pPr>
            <w:r>
              <w:rPr>
                <w:rFonts w:ascii="Calibri" w:hAnsi="Calibri"/>
                <w:b/>
                <w:i w:val="0"/>
                <w:color w:val="B08A3E"/>
                <w:spacing w:val="26"/>
                <w:sz w:val="15"/>
              </w:rPr>
              <w:t>THE 90-DAY COMMITMENT</w:t>
            </w:r>
          </w:p>
          <w:p>
            <w:pPr>
              <w:spacing w:before="0" w:after="0" w:line="293" w:lineRule="auto"/>
            </w:pPr>
            <w:r>
              <w:rPr>
                <w:rFonts w:ascii="Calibri" w:hAnsi="Calibri"/>
                <w:b w:val="0"/>
                <w:i w:val="0"/>
                <w:color w:val="5C5C5C"/>
                <w:sz w:val="20"/>
              </w:rPr>
              <w:t>Within 90 days of signature: Zoho Books live with 2026 data reconciled · every statutory filing current · the 2023–2025 tax position documented with exposures quantified · and a board dashboard the directors can read in five minutes. If we miss those four, the next month is on us.</w:t>
            </w:r>
          </w:p>
        </w:tc>
      </w:tr>
    </w:tbl>
    <w:p>
      <w:pPr>
        <w:spacing w:before="0" w:after="0" w:line="240" w:lineRule="auto"/>
      </w:pPr>
      <w:r>
        <w:rPr>
          <w:rFonts w:ascii="Calibri" w:hAnsi="Calibri"/>
          <w:b w:val="0"/>
          <w:i w:val="0"/>
          <w:sz w:val="16"/>
        </w:rPr>
      </w:r>
    </w:p>
    <w:p>
      <w:r>
        <w:br w:type="page"/>
      </w:r>
    </w:p>
    <w:p>
      <w:pPr>
        <w:keepNext/>
        <w:pBdr>
          <w:bottom w:val="single" w:sz="8" w:space="4" w:color="B08A3E"/>
        </w:pBdr>
        <w:spacing w:before="0" w:after="180"/>
      </w:pPr>
      <w:r>
        <w:rPr>
          <w:rFonts w:ascii="Calibri" w:hAnsi="Calibri"/>
          <w:b/>
          <w:i w:val="0"/>
          <w:color w:val="B08A3E"/>
          <w:spacing w:val="24"/>
          <w:sz w:val="18"/>
        </w:rPr>
        <w:t xml:space="preserve">08   </w:t>
      </w:r>
      <w:r>
        <w:rPr>
          <w:rFonts w:ascii="Georgia" w:hAnsi="Georgia"/>
          <w:b/>
          <w:i w:val="0"/>
          <w:color w:val="1B3A2F"/>
          <w:spacing w:val="12"/>
          <w:sz w:val="27"/>
        </w:rPr>
        <w:t>NEXT STEPS</w:t>
      </w:r>
    </w:p>
    <w:tbl>
      <w:tblPr>
        <w:tblW w:w="9298" w:type="dxa"/>
        <w:jc w:val="center"/>
        <w:tblBorders>
          <w:top w:val="single" w:sz="4" w:space="0" w:color="D9D3C6"/>
          <w:left w:val="single" w:sz="4" w:space="0" w:color="D9D3C6"/>
          <w:bottom w:val="single" w:sz="4" w:space="0" w:color="D9D3C6"/>
          <w:right w:val="single" w:sz="4" w:space="0" w:color="D9D3C6"/>
          <w:insideH w:val="single" w:sz="4" w:space="0" w:color="D9D3C6"/>
          <w:insideV w:val="single" w:sz="4" w:space="0" w:color="D9D3C6"/>
        </w:tblBorders>
        <w:tblLayout w:type="fixed"/>
        <w:tblLook w:firstColumn="1" w:firstRow="1" w:lastColumn="0" w:lastRow="0" w:noHBand="0" w:noVBand="1" w:val="04A0"/>
      </w:tblPr>
      <w:tblGrid>
        <w:gridCol w:w="567"/>
        <w:gridCol w:w="4876"/>
        <w:gridCol w:w="1701"/>
        <w:gridCol w:w="2154"/>
      </w:tblGrid>
      <w:tr>
        <w:trPr>
          <w:tblHeader w:val="true"/>
        </w:trPr>
        <w:tc>
          <w:tcPr>
            <w:tcW w:type="dxa" w:w="567"/>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w:t>
            </w:r>
          </w:p>
        </w:tc>
        <w:tc>
          <w:tcPr>
            <w:tcW w:type="dxa" w:w="4876"/>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STEP</w:t>
            </w:r>
          </w:p>
        </w:tc>
        <w:tc>
          <w:tcPr>
            <w:tcW w:type="dxa" w:w="1701"/>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OWNER</w:t>
            </w:r>
          </w:p>
        </w:tc>
        <w:tc>
          <w:tcPr>
            <w:tcW w:type="dxa" w:w="2154"/>
            <w:shd w:val="clear" w:color="auto" w:fill="1B3A2F"/>
            <w:tcMar>
              <w:top w:w="80" w:type="dxa"/>
              <w:left w:w="110" w:type="dxa"/>
              <w:bottom w:w="80" w:type="dxa"/>
              <w:right w:w="110" w:type="dxa"/>
            </w:tcMar>
            <w:vAlign w:val="center"/>
          </w:tcPr>
          <w:p>
            <w:pPr>
              <w:spacing w:before="0" w:after="0" w:line="252" w:lineRule="auto"/>
            </w:pPr>
            <w:r>
              <w:rPr>
                <w:rFonts w:ascii="Calibri" w:hAnsi="Calibri"/>
                <w:b/>
                <w:i w:val="0"/>
                <w:color w:val="FFFFFF"/>
                <w:spacing w:val="14"/>
                <w:sz w:val="17"/>
              </w:rPr>
              <w:t>WHEN</w:t>
            </w:r>
          </w:p>
        </w:tc>
      </w:tr>
      <w:tr>
        <w:trPr>
          <w:cantSplit w:val="true"/>
        </w:trPr>
        <w:tc>
          <w:tcPr>
            <w:tcW w:type="dxa" w:w="567"/>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1</w:t>
            </w:r>
          </w:p>
        </w:tc>
        <w:tc>
          <w:tcPr>
            <w:tcW w:type="dxa" w:w="487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Board decision on this proposal</w:t>
            </w:r>
          </w:p>
        </w:tc>
        <w:tc>
          <w:tcPr>
            <w:tcW w:type="dxa" w:w="1701"/>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Directors</w:t>
            </w:r>
          </w:p>
        </w:tc>
        <w:tc>
          <w:tcPr>
            <w:tcW w:type="dxa" w:w="2154"/>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By 31 October 2026</w:t>
            </w:r>
          </w:p>
        </w:tc>
      </w:tr>
      <w:tr>
        <w:trPr>
          <w:cantSplit w:val="true"/>
        </w:trPr>
        <w:tc>
          <w:tcPr>
            <w:tcW w:type="dxa" w:w="567"/>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2</w:t>
            </w:r>
          </w:p>
        </w:tc>
        <w:tc>
          <w:tcPr>
            <w:tcW w:type="dxa" w:w="4876"/>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45-minute scoping call to confirm access, users and estate list</w:t>
            </w:r>
          </w:p>
        </w:tc>
        <w:tc>
          <w:tcPr>
            <w:tcW w:type="dxa" w:w="170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Both</w:t>
            </w:r>
          </w:p>
        </w:tc>
        <w:tc>
          <w:tcPr>
            <w:tcW w:type="dxa" w:w="2154"/>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Within 5 working days</w:t>
            </w:r>
          </w:p>
        </w:tc>
      </w:tr>
      <w:tr>
        <w:trPr>
          <w:cantSplit w:val="true"/>
        </w:trPr>
        <w:tc>
          <w:tcPr>
            <w:tcW w:type="dxa" w:w="567"/>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3</w:t>
            </w:r>
          </w:p>
        </w:tc>
        <w:tc>
          <w:tcPr>
            <w:tcW w:type="dxa" w:w="487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Engagement letter and data protection addendum signed</w:t>
            </w:r>
          </w:p>
        </w:tc>
        <w:tc>
          <w:tcPr>
            <w:tcW w:type="dxa" w:w="1701"/>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Both</w:t>
            </w:r>
          </w:p>
        </w:tc>
        <w:tc>
          <w:tcPr>
            <w:tcW w:type="dxa" w:w="2154"/>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Before kick-off</w:t>
            </w:r>
          </w:p>
        </w:tc>
      </w:tr>
      <w:tr>
        <w:trPr>
          <w:cantSplit w:val="true"/>
        </w:trPr>
        <w:tc>
          <w:tcPr>
            <w:tcW w:type="dxa" w:w="567"/>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4</w:t>
            </w:r>
          </w:p>
        </w:tc>
        <w:tc>
          <w:tcPr>
            <w:tcW w:type="dxa" w:w="4876"/>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Kick-off and diagnostic note</w:t>
            </w:r>
          </w:p>
        </w:tc>
        <w:tc>
          <w:tcPr>
            <w:tcW w:type="dxa" w:w="170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Us</w:t>
            </w:r>
          </w:p>
        </w:tc>
        <w:tc>
          <w:tcPr>
            <w:tcW w:type="dxa" w:w="2154"/>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Within 5 working days of signature</w:t>
            </w:r>
          </w:p>
        </w:tc>
      </w:tr>
      <w:tr>
        <w:trPr>
          <w:cantSplit w:val="true"/>
        </w:trPr>
        <w:tc>
          <w:tcPr>
            <w:tcW w:type="dxa" w:w="567"/>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5</w:t>
            </w:r>
          </w:p>
        </w:tc>
        <w:tc>
          <w:tcPr>
            <w:tcW w:type="dxa" w:w="487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Chart of accounts and implementation plan approved</w:t>
            </w:r>
          </w:p>
        </w:tc>
        <w:tc>
          <w:tcPr>
            <w:tcW w:type="dxa" w:w="1701"/>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Baay finance</w:t>
            </w:r>
          </w:p>
        </w:tc>
        <w:tc>
          <w:tcPr>
            <w:tcW w:type="dxa" w:w="2154"/>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Week 2</w:t>
            </w:r>
          </w:p>
        </w:tc>
      </w:tr>
      <w:tr>
        <w:trPr>
          <w:cantSplit w:val="true"/>
        </w:trPr>
        <w:tc>
          <w:tcPr>
            <w:tcW w:type="dxa" w:w="567"/>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6</w:t>
            </w:r>
          </w:p>
        </w:tc>
        <w:tc>
          <w:tcPr>
            <w:tcW w:type="dxa" w:w="4876"/>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Go-live and first live month-end</w:t>
            </w:r>
          </w:p>
        </w:tc>
        <w:tc>
          <w:tcPr>
            <w:tcW w:type="dxa" w:w="1701"/>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Us</w:t>
            </w:r>
          </w:p>
        </w:tc>
        <w:tc>
          <w:tcPr>
            <w:tcW w:type="dxa" w:w="2154"/>
            <w:shd w:val="clear" w:color="auto" w:fill="FBFAF6"/>
            <w:tcMar>
              <w:top w:w="80" w:type="dxa"/>
              <w:left w:w="110" w:type="dxa"/>
              <w:bottom w:w="80" w:type="dxa"/>
              <w:right w:w="110" w:type="dxa"/>
            </w:tcMar>
            <w:vAlign w:val="center"/>
          </w:tcPr>
          <w:p>
            <w:pPr>
              <w:spacing w:before="0" w:after="0" w:line="278" w:lineRule="auto"/>
            </w:pPr>
            <w:r>
              <w:rPr>
                <w:rFonts w:ascii="Calibri" w:hAnsi="Calibri"/>
                <w:b w:val="0"/>
                <w:i w:val="0"/>
                <w:color w:val="5C5C5C"/>
                <w:sz w:val="18"/>
              </w:rPr>
              <w:t>Week 8</w:t>
            </w:r>
          </w:p>
        </w:tc>
      </w:tr>
    </w:tbl>
    <w:p>
      <w:pPr>
        <w:spacing w:before="0" w:after="0" w:line="240" w:lineRule="auto"/>
      </w:pPr>
      <w:r>
        <w:rPr>
          <w:rFonts w:ascii="Calibri" w:hAnsi="Calibri"/>
          <w:b w:val="0"/>
          <w:i w:val="0"/>
          <w:sz w:val="16"/>
        </w:rPr>
      </w:r>
    </w:p>
    <w:p>
      <w:pPr>
        <w:keepNext/>
        <w:spacing w:before="0" w:after="60"/>
      </w:pPr>
      <w:r>
        <w:rPr>
          <w:rFonts w:ascii="Calibri" w:hAnsi="Calibri"/>
          <w:b/>
          <w:i w:val="0"/>
          <w:color w:val="1B3A2F"/>
          <w:sz w:val="21"/>
        </w:rPr>
        <w:t>Assumptions behind the fees</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Timeline: </w:t>
      </w:r>
      <w:r>
        <w:rPr>
          <w:rFonts w:ascii="Calibri" w:hAnsi="Calibri"/>
          <w:b w:val="0"/>
          <w:i w:val="0"/>
          <w:color w:val="5C5C5C"/>
          <w:sz w:val="21"/>
        </w:rPr>
        <w:t>eight weeks assumes access to the four bank accounts and the client register within five working days of kick-off.</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Scope: </w:t>
      </w:r>
      <w:r>
        <w:rPr>
          <w:rFonts w:ascii="Calibri" w:hAnsi="Calibri"/>
          <w:b w:val="0"/>
          <w:i w:val="0"/>
          <w:color w:val="5C5C5C"/>
          <w:sz w:val="21"/>
        </w:rPr>
        <w:t>one company, one currency, nine estates. A second entity or a new estate is scoped separately.</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Platform: </w:t>
      </w:r>
      <w:r>
        <w:rPr>
          <w:rFonts w:ascii="Calibri" w:hAnsi="Calibri"/>
          <w:b w:val="0"/>
          <w:i w:val="0"/>
          <w:color w:val="5C5C5C"/>
          <w:sz w:val="21"/>
        </w:rPr>
        <w:t>Zoho Books Nigeria edition, subscription paid by Baay directly to Zoho.</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Fee validity: </w:t>
      </w:r>
      <w:r>
        <w:rPr>
          <w:rFonts w:ascii="Calibri" w:hAnsi="Calibri"/>
          <w:b w:val="0"/>
          <w:i w:val="0"/>
          <w:color w:val="5C5C5C"/>
          <w:sz w:val="21"/>
        </w:rPr>
        <w:t>all fees hold for 90 days from signature and are reviewed annually against transaction volume.</w:t>
      </w:r>
    </w:p>
    <w:p>
      <w:pPr>
        <w:spacing w:before="0" w:after="0" w:line="240" w:lineRule="auto"/>
      </w:pPr>
      <w:r>
        <w:rPr>
          <w:rFonts w:ascii="Calibri" w:hAnsi="Calibri"/>
          <w:b w:val="0"/>
          <w:i w:val="0"/>
          <w:sz w:val="16"/>
        </w:rPr>
      </w:r>
    </w:p>
    <w:p>
      <w:pPr>
        <w:keepNext/>
        <w:spacing w:before="0" w:after="60"/>
      </w:pPr>
      <w:r>
        <w:rPr>
          <w:rFonts w:ascii="Calibri" w:hAnsi="Calibri"/>
          <w:b/>
          <w:i w:val="0"/>
          <w:color w:val="1B3A2F"/>
          <w:sz w:val="21"/>
        </w:rPr>
        <w:t>What we need from you</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Bank access: </w:t>
      </w:r>
      <w:r>
        <w:rPr>
          <w:rFonts w:ascii="Calibri" w:hAnsi="Calibri"/>
          <w:b w:val="0"/>
          <w:i w:val="0"/>
          <w:color w:val="5C5C5C"/>
          <w:sz w:val="21"/>
        </w:rPr>
        <w:t>read-only access to the four bank accounts, and statements from January 2026 to date.</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One internal owner: </w:t>
      </w:r>
      <w:r>
        <w:rPr>
          <w:rFonts w:ascii="Calibri" w:hAnsi="Calibri"/>
          <w:b w:val="0"/>
          <w:i w:val="0"/>
          <w:color w:val="5C5C5C"/>
          <w:sz w:val="21"/>
        </w:rPr>
        <w:t>a named finance lead, two days a week for eight weeks, with authority to approve the chart of accounts.</w:t>
      </w:r>
    </w:p>
    <w:p>
      <w:pPr>
        <w:tabs>
          <w:tab w:pos="312" w:val="left"/>
        </w:tabs>
        <w:spacing w:before="0" w:after="60" w:line="293" w:lineRule="auto"/>
        <w:ind w:left="312" w:hanging="193"/>
      </w:pPr>
      <w:r>
        <w:rPr>
          <w:rFonts w:ascii="Calibri" w:hAnsi="Calibri"/>
          <w:b/>
          <w:i w:val="0"/>
          <w:color w:val="B08A3E"/>
          <w:sz w:val="21"/>
        </w:rPr>
        <w:t>•</w:t>
        <w:tab/>
      </w:r>
      <w:r>
        <w:rPr>
          <w:rFonts w:ascii="Calibri" w:hAnsi="Calibri"/>
          <w:b/>
          <w:i w:val="0"/>
          <w:color w:val="1B3A2F"/>
          <w:sz w:val="21"/>
        </w:rPr>
        <w:t xml:space="preserve">Documents: </w:t>
      </w:r>
      <w:r>
        <w:rPr>
          <w:rFonts w:ascii="Calibri" w:hAnsi="Calibri"/>
          <w:b w:val="0"/>
          <w:i w:val="0"/>
          <w:color w:val="5C5C5C"/>
          <w:sz w:val="21"/>
        </w:rPr>
        <w:t>the client register, project contracts, prior tax returns and receipts — most of which we have already catalogued.</w:t>
      </w:r>
    </w:p>
    <w:p>
      <w:pPr>
        <w:spacing w:before="0" w:after="0" w:line="240" w:lineRule="auto"/>
      </w:pPr>
      <w:r>
        <w:rPr>
          <w:rFonts w:ascii="Calibri" w:hAnsi="Calibri"/>
          <w:b w:val="0"/>
          <w:i w:val="0"/>
          <w:sz w:val="20"/>
        </w:rPr>
      </w:r>
    </w:p>
    <w:tbl>
      <w:tblPr>
        <w:tblW w:w="9070" w:type="dxa"/>
        <w:jc w:val="center"/>
        <w:tblBorders>
          <w:top w:val="nil"/>
          <w:left w:val="nil"/>
          <w:bottom w:val="nil"/>
          <w:right w:val="nil"/>
          <w:insideH w:val="nil"/>
          <w:insideV w:val="nil"/>
        </w:tblBorders>
        <w:tblLayout w:type="fixed"/>
        <w:tblLook w:firstColumn="1" w:firstRow="1" w:lastColumn="0" w:lastRow="0" w:noHBand="0" w:noVBand="1" w:val="04A0"/>
      </w:tblPr>
      <w:tblGrid>
        <w:gridCol w:w="4535"/>
        <w:gridCol w:w="4535"/>
      </w:tblGrid>
      <w:tr>
        <w:tc>
          <w:tcPr>
            <w:tcW w:type="dxa" w:w="4535"/>
            <w:tcMar>
              <w:top w:w="160" w:type="dxa"/>
              <w:left w:w="0" w:type="dxa"/>
              <w:bottom w:w="160" w:type="dxa"/>
              <w:right w:w="300" w:type="dxa"/>
            </w:tcMar>
          </w:tcPr>
          <w:p>
            <w:pPr>
              <w:spacing w:before="0" w:after="160"/>
            </w:pPr>
            <w:r>
              <w:rPr>
                <w:rFonts w:ascii="Calibri" w:hAnsi="Calibri"/>
                <w:b/>
                <w:i w:val="0"/>
                <w:color w:val="B08A3E"/>
                <w:spacing w:val="24"/>
                <w:sz w:val="15"/>
              </w:rPr>
              <w:t>ACCEPTED FOR BAAY PROJECTS LIMITED</w:t>
            </w:r>
          </w:p>
          <w:p>
            <w:pPr>
              <w:spacing w:before="0" w:after="280"/>
            </w:pPr>
            <w:r>
              <w:rPr>
                <w:rFonts w:ascii="Calibri" w:hAnsi="Calibri"/>
                <w:b w:val="0"/>
                <w:i w:val="0"/>
                <w:color w:val="8A8A8A"/>
                <w:sz w:val="17"/>
              </w:rPr>
              <w:t>Name:</w:t>
            </w:r>
          </w:p>
          <w:p>
            <w:pPr>
              <w:spacing w:before="0" w:after="280"/>
            </w:pPr>
            <w:r>
              <w:rPr>
                <w:rFonts w:ascii="Calibri" w:hAnsi="Calibri"/>
                <w:b w:val="0"/>
                <w:i w:val="0"/>
                <w:color w:val="8A8A8A"/>
                <w:sz w:val="17"/>
              </w:rPr>
              <w:t>Designation:</w:t>
            </w:r>
          </w:p>
          <w:p>
            <w:pPr>
              <w:spacing w:before="0" w:after="280"/>
            </w:pPr>
            <w:r>
              <w:rPr>
                <w:rFonts w:ascii="Calibri" w:hAnsi="Calibri"/>
                <w:b w:val="0"/>
                <w:i w:val="0"/>
                <w:color w:val="8A8A8A"/>
                <w:sz w:val="17"/>
              </w:rPr>
              <w:t>Signature &amp; date:</w:t>
            </w:r>
          </w:p>
        </w:tc>
        <w:tc>
          <w:tcPr>
            <w:tcW w:type="dxa" w:w="4535"/>
            <w:tcMar>
              <w:top w:w="160" w:type="dxa"/>
              <w:left w:w="300" w:type="dxa"/>
              <w:bottom w:w="160" w:type="dxa"/>
              <w:right w:w="300" w:type="dxa"/>
            </w:tcMar>
          </w:tcPr>
          <w:p>
            <w:pPr>
              <w:spacing w:before="0" w:after="160"/>
            </w:pPr>
            <w:r>
              <w:rPr>
                <w:rFonts w:ascii="Calibri" w:hAnsi="Calibri"/>
                <w:b/>
                <w:i w:val="0"/>
                <w:color w:val="B08A3E"/>
                <w:spacing w:val="24"/>
                <w:sz w:val="15"/>
              </w:rPr>
              <w:t>FOR [FIRM NAME]</w:t>
            </w:r>
          </w:p>
          <w:p>
            <w:pPr>
              <w:spacing w:before="0" w:after="280"/>
            </w:pPr>
            <w:r>
              <w:rPr>
                <w:rFonts w:ascii="Calibri" w:hAnsi="Calibri"/>
                <w:b w:val="0"/>
                <w:i w:val="0"/>
                <w:color w:val="8A8A8A"/>
                <w:sz w:val="17"/>
              </w:rPr>
              <w:t>Name:</w:t>
            </w:r>
          </w:p>
          <w:p>
            <w:pPr>
              <w:spacing w:before="0" w:after="280"/>
            </w:pPr>
            <w:r>
              <w:rPr>
                <w:rFonts w:ascii="Calibri" w:hAnsi="Calibri"/>
                <w:b w:val="0"/>
                <w:i w:val="0"/>
                <w:color w:val="8A8A8A"/>
                <w:sz w:val="17"/>
              </w:rPr>
              <w:t>Designation:</w:t>
            </w:r>
          </w:p>
          <w:p>
            <w:pPr>
              <w:spacing w:before="0" w:after="280"/>
            </w:pPr>
            <w:r>
              <w:rPr>
                <w:rFonts w:ascii="Calibri" w:hAnsi="Calibri"/>
                <w:b w:val="0"/>
                <w:i w:val="0"/>
                <w:color w:val="8A8A8A"/>
                <w:sz w:val="17"/>
              </w:rPr>
              <w:t>Signature &amp; date:</w:t>
            </w:r>
          </w:p>
        </w:tc>
      </w:tr>
    </w:tbl>
    <w:p>
      <w:pPr>
        <w:spacing w:before="0" w:after="0" w:line="240" w:lineRule="auto"/>
      </w:pPr>
      <w:r>
        <w:rPr>
          <w:rFonts w:ascii="Calibri" w:hAnsi="Calibri"/>
          <w:b w:val="0"/>
          <w:i w:val="0"/>
          <w:sz w:val="20"/>
        </w:rPr>
      </w:r>
    </w:p>
    <w:p>
      <w:pPr>
        <w:spacing w:before="0" w:after="40" w:line="307" w:lineRule="auto"/>
      </w:pPr>
      <w:r>
        <w:rPr>
          <w:rFonts w:ascii="Calibri" w:hAnsi="Calibri"/>
          <w:b w:val="0"/>
          <w:i/>
          <w:color w:val="8A8A8A"/>
          <w:sz w:val="15"/>
        </w:rPr>
        <w:t>This proposal is valid for 30 days from the date of issue. All figures are drawn from the audited financial statements for 2023–2025 and the Baay Projects master workbook, and are stated in Nigerian Naira. Final scope, deliverables and terms will be set out in the engagement letter.</w:t>
      </w:r>
    </w:p>
    <w:p>
      <w:pPr>
        <w:spacing w:before="0" w:after="120" w:line="307" w:lineRule="auto"/>
      </w:pPr>
      <w:r>
        <w:rPr>
          <w:rFonts w:ascii="Calibri" w:hAnsi="Calibri"/>
          <w:b w:val="0"/>
          <w:i w:val="0"/>
          <w:color w:val="8A8A8A"/>
          <w:sz w:val="15"/>
        </w:rPr>
        <w:t>Baay Projects Limited · RC 1526224 · TIN 21548976-0001 · Confidential</w:t>
      </w:r>
    </w:p>
    <w:sectPr w:rsidR="00FC693F" w:rsidRPr="0006063C" w:rsidSect="00034616">
      <w:headerReference w:type="default" r:id="rId9"/>
      <w:footerReference w:type="default" r:id="rId10"/>
      <w:pgSz w:w="11906" w:h="16838"/>
      <w:pgMar w:top="1077" w:right="1304" w:bottom="1020" w:left="1304"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298" w:val="right"/>
      </w:tabs>
      <w:spacing w:before="0" w:after="0"/>
    </w:pPr>
    <w:r/>
    <w:r>
      <w:rPr>
        <w:rFonts w:ascii="Calibri" w:hAnsi="Calibri"/>
        <w:b w:val="0"/>
        <w:i w:val="0"/>
        <w:color w:val="8A8A8A"/>
        <w:sz w:val="14"/>
      </w:rPr>
      <w:t>Confidential — prepared for the Board of Baay Projects Limited</w:t>
    </w:r>
    <w:r>
      <w:rPr>
        <w:rFonts w:ascii="Calibri" w:hAnsi="Calibri"/>
        <w:b w:val="0"/>
        <w:i w:val="0"/>
        <w:color w:val="8A8A8A"/>
        <w:sz w:val="14"/>
      </w:rPr>
      <w:tab/>
    </w:r>
    <w:r>
      <w:rPr>
        <w:rFonts w:ascii="Calibri" w:hAnsi="Calibri"/>
        <w:b w:val="0"/>
        <w:i w:val="0"/>
        <w:color w:val="8A8A8A"/>
        <w:sz w:val="14"/>
      </w:rPr>
      <w:t xml:space="preserve">Page </w:t>
    </w:r>
    <w:r>
      <w:rPr>
        <w:rFonts w:ascii="Calibri" w:hAnsi="Calibri"/>
        <w:color w:val="5C5C5C"/>
        <w:sz w:val="17"/>
      </w:rPr>
      <w:fldChar w:fldCharType="begin"/>
    </w:r>
    <w:r>
      <w:rPr>
        <w:rFonts w:ascii="Calibri" w:hAnsi="Calibri"/>
        <w:color w:val="5C5C5C"/>
        <w:sz w:val="17"/>
      </w:rPr>
      <w:instrText xml:space="preserve">  PAGE  </w:instrText>
    </w:r>
    <w:r>
      <w:rPr>
        <w:rFonts w:ascii="Calibri" w:hAnsi="Calibri"/>
        <w:color w:val="5C5C5C"/>
        <w:sz w:val="17"/>
      </w:rPr>
      <w:fldChar w:fldCharType="separate"/>
    </w:r>
    <w:r>
      <w:rPr>
        <w:rFonts w:ascii="Calibri" w:hAnsi="Calibri"/>
        <w:color w:val="5C5C5C"/>
        <w:sz w:val="17"/>
      </w:rPr>
      <w:t>1</w:t>
    </w:r>
    <w:r>
      <w:rPr>
        <w:rFonts w:ascii="Calibri" w:hAnsi="Calibri"/>
        <w:color w:val="5C5C5C"/>
        <w:sz w:val="17"/>
      </w:rPr>
      <w:fldChar w:fldCharType="end"/>
    </w:r>
    <w:r>
      <w:rPr>
        <w:rFonts w:ascii="Calibri" w:hAnsi="Calibri"/>
        <w:b w:val="0"/>
        <w:i w:val="0"/>
        <w:color w:val="8A8A8A"/>
        <w:sz w:val="14"/>
      </w:rPr>
      <w:t xml:space="preserve"> of </w:t>
    </w:r>
    <w:r>
      <w:rPr>
        <w:rFonts w:ascii="Calibri" w:hAnsi="Calibri"/>
        <w:color w:val="5C5C5C"/>
        <w:sz w:val="17"/>
      </w:rPr>
      <w:fldChar w:fldCharType="begin"/>
    </w:r>
    <w:r>
      <w:rPr>
        <w:rFonts w:ascii="Calibri" w:hAnsi="Calibri"/>
        <w:color w:val="5C5C5C"/>
        <w:sz w:val="17"/>
      </w:rPr>
      <w:instrText xml:space="preserve">  NUMPAGES  </w:instrText>
    </w:r>
    <w:r>
      <w:rPr>
        <w:rFonts w:ascii="Calibri" w:hAnsi="Calibri"/>
        <w:color w:val="5C5C5C"/>
        <w:sz w:val="17"/>
      </w:rPr>
      <w:fldChar w:fldCharType="separate"/>
    </w:r>
    <w:r>
      <w:rPr>
        <w:rFonts w:ascii="Calibri" w:hAnsi="Calibri"/>
        <w:color w:val="5C5C5C"/>
        <w:sz w:val="17"/>
      </w:rPr>
      <w:t>1</w:t>
    </w:r>
    <w:r>
      <w:rPr>
        <w:rFonts w:ascii="Calibri" w:hAnsi="Calibri"/>
        <w:color w:val="5C5C5C"/>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D9D3C6"/>
      </w:pBdr>
      <w:tabs>
        <w:tab w:pos="9298" w:val="right"/>
      </w:tabs>
      <w:spacing w:after="0"/>
    </w:pPr>
    <w:r/>
    <w:r>
      <w:rPr>
        <w:rFonts w:ascii="Calibri" w:hAnsi="Calibri"/>
        <w:b/>
        <w:i w:val="0"/>
        <w:color w:val="1B3A2F"/>
        <w:spacing w:val="30"/>
        <w:sz w:val="15"/>
      </w:rPr>
      <w:t>BAAY PROJECTS LIMITED</w:t>
    </w:r>
    <w:r>
      <w:rPr>
        <w:rFonts w:ascii="Calibri" w:hAnsi="Calibri"/>
        <w:b w:val="0"/>
        <w:i w:val="0"/>
        <w:color w:val="8A8A8A"/>
        <w:spacing w:val="18"/>
        <w:sz w:val="15"/>
      </w:rPr>
      <w:tab/>
      <w:t>Engagement Proposal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7" w:lineRule="auto"/>
    </w:pPr>
    <w:rPr>
      <w:rFonts w:ascii="Calibri" w:hAnsi="Calibri"/>
      <w:color w:val="5C5C5C"/>
      <w:sz w:val="21"/>
      <w:lang w:val="en-GB" w:eastAsia="en-GB"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Engagement Proposal — Zoho Books Implementation &amp; Tax Compliance</dc:title>
  <dc:subject>Baay Projects Limited (RC 1526224)</dc:subject>
  <dc:creator>Finance &amp; Tax Advisory</dc:creator>
  <cp:keywords>Zoho Books, tax compliance, IFRS, Nigeria, Baay Projects</cp:keywords>
  <dc:description>Prepared from the Baay Projects Limited 2023-2025 master workbook.</dc:description>
  <cp:lastModifiedBy/>
  <cp:revision>1</cp:revision>
  <dcterms:created xsi:type="dcterms:W3CDTF">2013-12-23T23:15:00Z</dcterms:created>
  <dcterms:modified xsi:type="dcterms:W3CDTF">2013-12-23T23:15:00Z</dcterms:modified>
  <cp:category/>
</cp:coreProperties>
</file>