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Юхнин</w:t>
      </w:r>
      <w:r>
        <w:t xml:space="preserve"> </w:t>
      </w:r>
      <w:r>
        <w:t xml:space="preserve">Илья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простейшую модель «эффективность рекламы». Построить модель и визуализировать и анализировать графики эффективности распространения рекламы для трех случаев.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47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SourceCode"/>
      </w:pPr>
      <w:r>
        <w:rPr>
          <w:rStyle w:val="VerbatimChar"/>
        </w:rPr>
        <w:t xml:space="preserve">$\frac{dn}{dt} = (0.91+0.00005n(t))(N-n(t))$</w:t>
      </w:r>
      <w:r>
        <w:br/>
      </w:r>
      <w:r>
        <w:rPr>
          <w:rStyle w:val="VerbatimChar"/>
        </w:rPr>
        <w:t xml:space="preserve">$\frac{dn}{dt} = (0.00001+0.81n(t))(N-n(t))$</w:t>
      </w:r>
      <w:r>
        <w:br/>
      </w:r>
      <w:r>
        <w:rPr>
          <w:rStyle w:val="VerbatimChar"/>
        </w:rPr>
        <w:t xml:space="preserve">$\frac{dn}{dt} = (0.18t+0.31tn(t))(N-n(t))$</w:t>
      </w:r>
    </w:p>
    <w:p>
      <w:pPr>
        <w:pStyle w:val="FirstParagraph"/>
      </w:pPr>
      <w:r>
        <w:t xml:space="preserve">При этом объем аудитории $N = 1940$, в начальный момент о товаре знает $26$ человек. Для случая $2$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$t$ из числа потенциальных покупателей $N$ знает лишь $n$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w:r>
        <w:t xml:space="preserve">t — время, прошедшее с начала рекламной кампании;</w:t>
      </w:r>
    </w:p>
    <w:p>
      <w:pPr>
        <w:pStyle w:val="BodyText"/>
      </w:pPr>
      <w:r>
        <w:t xml:space="preserve">n(t)— 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N — общее число потенциальных платежеспособных покупателей;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программы:</w:t>
      </w:r>
    </w:p>
    <w:p>
      <w:pPr>
        <w:pStyle w:val="BodyText"/>
      </w:pPr>
      <w:r>
        <w:rPr>
          <w:bCs/>
          <w:b/>
        </w:rPr>
        <w:t xml:space="preserve">Случай 1: a1&gt;a2</w:t>
      </w:r>
    </w:p>
    <w:p>
      <w:pPr>
        <w:pStyle w:val="SourceCode"/>
      </w:pPr>
      <w:r>
        <w:rPr>
          <w:rStyle w:val="VerbatimChar"/>
        </w:rPr>
        <w:t xml:space="preserve">model lab07</w:t>
      </w:r>
      <w:r>
        <w:br/>
      </w:r>
      <w:r>
        <w:br/>
      </w:r>
      <w:r>
        <w:rPr>
          <w:rStyle w:val="VerbatimChar"/>
        </w:rPr>
        <w:t xml:space="preserve">constant Real N = 1940; </w:t>
      </w:r>
      <w:r>
        <w:br/>
      </w:r>
      <w:r>
        <w:br/>
      </w:r>
      <w:r>
        <w:rPr>
          <w:rStyle w:val="VerbatimChar"/>
        </w:rPr>
        <w:t xml:space="preserve">Real a1; </w:t>
      </w:r>
      <w:r>
        <w:br/>
      </w:r>
      <w:r>
        <w:rPr>
          <w:rStyle w:val="VerbatimChar"/>
        </w:rPr>
        <w:t xml:space="preserve">Real a2; </w:t>
      </w:r>
      <w:r>
        <w:br/>
      </w:r>
      <w:r>
        <w:rPr>
          <w:rStyle w:val="VerbatimChar"/>
        </w:rPr>
        <w:t xml:space="preserve">Real n; 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26; 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a1 = 0.91; </w:t>
      </w:r>
      <w:r>
        <w:br/>
      </w:r>
      <w:r>
        <w:rPr>
          <w:rStyle w:val="VerbatimChar"/>
        </w:rPr>
        <w:t xml:space="preserve">a2 = 0.00005; </w:t>
      </w:r>
      <w:r>
        <w:br/>
      </w:r>
      <w:r>
        <w:rPr>
          <w:rStyle w:val="VerbatimChar"/>
        </w:rPr>
        <w:t xml:space="preserve">der(n) = (a1+a2*n)*(N-n); </w:t>
      </w:r>
      <w:r>
        <w:br/>
      </w:r>
      <w:r>
        <w:br/>
      </w:r>
      <w:r>
        <w:rPr>
          <w:rStyle w:val="VerbatimChar"/>
        </w:rPr>
        <w:t xml:space="preserve">end lab07;</w:t>
      </w:r>
    </w:p>
    <w:p>
      <w:pPr>
        <w:pStyle w:val="FirstParagraph"/>
      </w:pPr>
      <w:r>
        <w:t xml:space="preserve">
    рис.01
</w:t>
      </w:r>
    </w:p>
    <w:p>
      <w:pPr>
        <w:pStyle w:val="BodyText"/>
      </w:pPr>
      <w:r>
        <w:rPr>
          <w:bCs/>
          <w:b/>
        </w:rPr>
        <w:t xml:space="preserve">Случай 2: a1&lt;a2</w:t>
      </w:r>
    </w:p>
    <w:p>
      <w:pPr>
        <w:pStyle w:val="SourceCode"/>
      </w:pPr>
      <w:r>
        <w:rPr>
          <w:rStyle w:val="VerbatimChar"/>
        </w:rPr>
        <w:t xml:space="preserve">model lab07</w:t>
      </w:r>
      <w:r>
        <w:br/>
      </w:r>
      <w:r>
        <w:br/>
      </w:r>
      <w:r>
        <w:rPr>
          <w:rStyle w:val="VerbatimChar"/>
        </w:rPr>
        <w:t xml:space="preserve">constant Real N = 1940;</w:t>
      </w:r>
      <w:r>
        <w:br/>
      </w:r>
      <w:r>
        <w:br/>
      </w:r>
      <w:r>
        <w:rPr>
          <w:rStyle w:val="VerbatimChar"/>
        </w:rPr>
        <w:t xml:space="preserve">Real a1; </w:t>
      </w:r>
      <w:r>
        <w:br/>
      </w:r>
      <w:r>
        <w:rPr>
          <w:rStyle w:val="VerbatimChar"/>
        </w:rPr>
        <w:t xml:space="preserve">Real a2; </w:t>
      </w:r>
      <w:r>
        <w:br/>
      </w:r>
      <w:r>
        <w:rPr>
          <w:rStyle w:val="VerbatimChar"/>
        </w:rPr>
        <w:t xml:space="preserve">Real n;</w:t>
      </w:r>
      <w:r>
        <w:br/>
      </w:r>
      <w:r>
        <w:br/>
      </w:r>
      <w:r>
        <w:rPr>
          <w:rStyle w:val="VerbatimChar"/>
        </w:rPr>
        <w:t xml:space="preserve">initial equation n = 26;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a1 = 0.00001; </w:t>
      </w:r>
      <w:r>
        <w:br/>
      </w:r>
      <w:r>
        <w:rPr>
          <w:rStyle w:val="VerbatimChar"/>
        </w:rPr>
        <w:t xml:space="preserve">a2 = 0.81; </w:t>
      </w:r>
      <w:r>
        <w:br/>
      </w:r>
      <w:r>
        <w:rPr>
          <w:rStyle w:val="VerbatimChar"/>
        </w:rPr>
        <w:t xml:space="preserve">der(n) = (a1+a2*n)*(N-n);</w:t>
      </w:r>
      <w:r>
        <w:br/>
      </w:r>
      <w:r>
        <w:br/>
      </w:r>
      <w:r>
        <w:rPr>
          <w:rStyle w:val="VerbatimChar"/>
        </w:rPr>
        <w:t xml:space="preserve">end lab07;</w:t>
      </w:r>
    </w:p>
    <w:p>
      <w:pPr>
        <w:pStyle w:val="FirstParagraph"/>
      </w:pPr>
      <w:r>
        <w:t xml:space="preserve">
    рис.02
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Случай 3: a1≈a2</w:t>
      </w:r>
    </w:p>
    <w:p>
      <w:pPr>
        <w:pStyle w:val="SourceCode"/>
      </w:pPr>
      <w:r>
        <w:rPr>
          <w:rStyle w:val="VerbatimChar"/>
        </w:rPr>
        <w:t xml:space="preserve">model lab07</w:t>
      </w:r>
      <w:r>
        <w:br/>
      </w:r>
      <w:r>
        <w:rPr>
          <w:rStyle w:val="VerbatimChar"/>
        </w:rPr>
        <w:t xml:space="preserve">  constant Real N = 1940;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a1;</w:t>
      </w:r>
      <w:r>
        <w:br/>
      </w:r>
      <w:r>
        <w:rPr>
          <w:rStyle w:val="VerbatimChar"/>
        </w:rPr>
        <w:t xml:space="preserve">  Real a2; </w:t>
      </w:r>
      <w:r>
        <w:br/>
      </w:r>
      <w:r>
        <w:rPr>
          <w:rStyle w:val="VerbatimChar"/>
        </w:rPr>
        <w:t xml:space="preserve">  Real n;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a1 = 0.5; </w:t>
      </w:r>
      <w:r>
        <w:br/>
      </w:r>
      <w:r>
        <w:rPr>
          <w:rStyle w:val="VerbatimChar"/>
        </w:rPr>
        <w:t xml:space="preserve">  a2 = 0.3; </w:t>
      </w:r>
      <w:r>
        <w:br/>
      </w:r>
      <w:r>
        <w:rPr>
          <w:rStyle w:val="VerbatimChar"/>
        </w:rPr>
        <w:t xml:space="preserve">  n = 26;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a1 = 0.18*time;</w:t>
      </w:r>
      <w:r>
        <w:br/>
      </w:r>
      <w:r>
        <w:rPr>
          <w:rStyle w:val="VerbatimChar"/>
        </w:rPr>
        <w:t xml:space="preserve">  a2 = 0.31*time;</w:t>
      </w:r>
      <w:r>
        <w:br/>
      </w:r>
      <w:r>
        <w:rPr>
          <w:rStyle w:val="VerbatimChar"/>
        </w:rPr>
        <w:t xml:space="preserve">  der(n) = (a1+a2*n)*(N-n); </w:t>
      </w:r>
      <w:r>
        <w:br/>
      </w:r>
      <w:r>
        <w:br/>
      </w:r>
      <w:r>
        <w:rPr>
          <w:rStyle w:val="VerbatimChar"/>
        </w:rPr>
        <w:t xml:space="preserve">end lab07;</w:t>
      </w:r>
    </w:p>
    <w:p>
      <w:pPr>
        <w:pStyle w:val="FirstParagraph"/>
      </w:pPr>
      <w:r>
        <w:t xml:space="preserve">
    рис.03
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Сравнение эффективности сарафанного радио и платной рекламы</w:t>
      </w:r>
    </w:p>
    <w:p>
      <w:pPr>
        <w:pStyle w:val="BodyText"/>
      </w:pPr>
      <w:r>
        <w:t xml:space="preserve">
    рис.04
</w:t>
      </w:r>
    </w:p>
    <w:bookmarkEnd w:id="23"/>
    <w:bookmarkStart w:id="2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Рассмотрел модель эффективности рекламы в разных случаях. Сравнил решения, учитывающее вклад только платной рекламы и учитывающее вклад только сарафанного радио.</w:t>
      </w:r>
    </w:p>
    <w:bookmarkEnd w:id="24"/>
    <w:bookmarkStart w:id="25" w:name="вопросы"/>
    <w:p>
      <w:pPr>
        <w:pStyle w:val="Heading1"/>
      </w:pPr>
      <w:r>
        <w:t xml:space="preserve">Вопросы</w:t>
      </w:r>
    </w:p>
    <w:p>
      <w:pPr>
        <w:pStyle w:val="FirstParagraph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где</w:t>
      </w:r>
    </w:p>
    <w:p>
      <w:pPr>
        <w:numPr>
          <w:ilvl w:val="0"/>
          <w:numId w:val="1001"/>
        </w:numPr>
      </w:pPr>
      <w:r>
        <w:t xml:space="preserve">N — исходная численность населения,</w:t>
      </w:r>
    </w:p>
    <w:p>
      <w:pPr>
        <w:numPr>
          <w:ilvl w:val="0"/>
          <w:numId w:val="1001"/>
        </w:numPr>
      </w:pPr>
      <w:r>
        <w:t xml:space="preserve">r — коэффициент пропорциональности, для которого r = b - d, где</w:t>
      </w:r>
    </w:p>
    <w:p>
      <w:pPr>
        <w:numPr>
          <w:ilvl w:val="1"/>
          <w:numId w:val="1002"/>
        </w:numPr>
      </w:pPr>
      <w:r>
        <w:t xml:space="preserve">b — коэффициент рождаемости</w:t>
      </w:r>
    </w:p>
    <w:p>
      <w:pPr>
        <w:numPr>
          <w:ilvl w:val="1"/>
          <w:numId w:val="1002"/>
        </w:numPr>
      </w:pPr>
      <w:r>
        <w:t xml:space="preserve">d — коэффициент смертности</w:t>
      </w:r>
    </w:p>
    <w:p>
      <w:pPr>
        <w:numPr>
          <w:ilvl w:val="0"/>
          <w:numId w:val="1001"/>
        </w:numPr>
      </w:pPr>
      <w:r>
        <w:t xml:space="preserve">t — время.</w:t>
      </w:r>
    </w:p>
    <w:p>
      <w:pPr>
        <w:pStyle w:val="FirstParagraph"/>
      </w:pPr>
      <w:r>
        <w:t xml:space="preserve">Модель используется в экологии для расчета изменения популяции особей животных.</w:t>
      </w:r>
    </w:p>
    <w:p>
      <w:pPr>
        <w:pStyle w:val="BodyText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numPr>
          <w:ilvl w:val="0"/>
          <w:numId w:val="1003"/>
        </w:numPr>
      </w:pPr>
      <w:r>
        <w:t xml:space="preserve">r — характеризует скорость роста (размножения)</w:t>
      </w:r>
    </w:p>
    <w:p>
      <w:pPr>
        <w:numPr>
          <w:ilvl w:val="0"/>
          <w:numId w:val="1003"/>
        </w:numPr>
      </w:pPr>
      <w:r>
        <w:t xml:space="preserve">K — поддерживающая ёмкость среды (то есть, максимально возможная численность популяции)</w:t>
      </w:r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04"/>
        </w:numPr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04"/>
        </w:numPr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pStyle w:val="FirstParagraph"/>
      </w:pPr>
      <w:r>
        <w:t xml:space="preserve">На что влияет коэффициент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 </w:t>
      </w:r>
      <w:r>
        <w:t xml:space="preserve">в модели распространения рекламы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 </w:t>
      </w:r>
      <w:r>
        <w:t xml:space="preserve">— интенсивность рекламной кампании, зависящая от затрат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— интенсивность рекламной кампании, зависящая от сарафанного радио</w:t>
      </w:r>
    </w:p>
    <w:bookmarkEnd w:id="25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</w:pPr>
      <w:hyperlink r:id="rId26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Лабораторная работа №7</w:t>
        </w:r>
      </w:hyperlink>
    </w:p>
    <w:p>
      <w:pPr>
        <w:numPr>
          <w:ilvl w:val="0"/>
          <w:numId w:val="1005"/>
        </w:numPr>
      </w:pPr>
      <w:hyperlink r:id="rId27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Задания к лабораторной работе №7 ( по вариантам )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system.rudn.ru/mod/resource/view.php?id=831053" TargetMode="External" /><Relationship Type="http://schemas.openxmlformats.org/officeDocument/2006/relationships/hyperlink" Id="rId27" Target="https://esystem.rudn.ru/mod/resource/view.php?id=83105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system.rudn.ru/mod/resource/view.php?id=831053" TargetMode="External" /><Relationship Type="http://schemas.openxmlformats.org/officeDocument/2006/relationships/hyperlink" Id="rId27" Target="https://esystem.rudn.ru/mod/resource/view.php?id=8310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Юхнин Илья Андреевич</dc:creator>
  <dc:language>ru-RU</dc:language>
  <cp:keywords/>
  <dcterms:created xsi:type="dcterms:W3CDTF">2022-03-26T14:12:44Z</dcterms:created>
  <dcterms:modified xsi:type="dcterms:W3CDTF">2022-03-26T14:12:44Z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Математическое моделирование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