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1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764</w:t>
      </w:r>
      <w:r>
        <w:rPr>
          <w:b/>
          <w:color w:val="231F20"/>
          <w:spacing w:val="8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z w:val="15"/>
        </w:rPr>
        <w:t>BRAMS</w:t>
      </w:r>
      <w:r>
        <w:rPr>
          <w:color w:val="231F20"/>
          <w:spacing w:val="10"/>
          <w:sz w:val="15"/>
        </w:rPr>
        <w:t> </w:t>
      </w:r>
      <w:r>
        <w:rPr>
          <w:color w:val="231F20"/>
          <w:sz w:val="15"/>
        </w:rPr>
        <w:t>ET</w:t>
      </w:r>
      <w:r>
        <w:rPr>
          <w:color w:val="231F20"/>
          <w:spacing w:val="10"/>
          <w:sz w:val="15"/>
        </w:rPr>
        <w:t> </w:t>
      </w:r>
      <w:r>
        <w:rPr>
          <w:color w:val="231F20"/>
          <w:sz w:val="15"/>
        </w:rPr>
        <w:t>AL</w:t>
      </w:r>
      <w:r>
        <w:rPr>
          <w:color w:val="231F20"/>
          <w:sz w:val="20"/>
        </w:rPr>
        <w:t>.</w:t>
      </w:r>
      <w:r>
        <w:rPr>
          <w:color w:val="231F20"/>
          <w:sz w:val="18"/>
        </w:rPr>
        <w:t>: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J</w:t>
      </w:r>
      <w:r>
        <w:rPr>
          <w:color w:val="231F20"/>
          <w:sz w:val="15"/>
        </w:rPr>
        <w:t>OURNAL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4"/>
          <w:sz w:val="15"/>
        </w:rPr>
        <w:t> </w:t>
      </w:r>
      <w:r>
        <w:rPr>
          <w:color w:val="231F20"/>
          <w:sz w:val="18"/>
        </w:rPr>
        <w:t>AOAC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z w:val="15"/>
        </w:rPr>
        <w:t>NTERNATIONAL</w:t>
      </w:r>
      <w:r>
        <w:rPr>
          <w:color w:val="231F20"/>
          <w:spacing w:val="2"/>
          <w:sz w:val="15"/>
        </w:rPr>
        <w:t> </w:t>
      </w:r>
      <w:r>
        <w:rPr>
          <w:color w:val="231F20"/>
          <w:sz w:val="18"/>
        </w:rPr>
        <w:t>V</w:t>
      </w:r>
      <w:r>
        <w:rPr>
          <w:color w:val="231F20"/>
          <w:sz w:val="13"/>
        </w:rPr>
        <w:t>OL</w:t>
      </w:r>
      <w:r>
        <w:rPr>
          <w:color w:val="231F20"/>
          <w:sz w:val="18"/>
        </w:rPr>
        <w:t>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97,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</w:t>
      </w:r>
      <w:r>
        <w:rPr>
          <w:color w:val="231F20"/>
          <w:sz w:val="13"/>
        </w:rPr>
        <w:t>O</w:t>
      </w:r>
      <w:r>
        <w:rPr>
          <w:color w:val="231F20"/>
          <w:sz w:val="18"/>
        </w:rPr>
        <w:t>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3,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2014</w:t>
      </w:r>
    </w:p>
    <w:p>
      <w:pPr>
        <w:pStyle w:val="BodyText"/>
        <w:spacing w:before="8"/>
        <w:rPr>
          <w:sz w:val="13"/>
        </w:rPr>
      </w:pPr>
    </w:p>
    <w:p>
      <w:pPr>
        <w:spacing w:before="95" w:after="17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SPECIAL</w:t>
      </w:r>
      <w:r>
        <w:rPr>
          <w:rFonts w:ascii="Arial"/>
          <w:b/>
          <w:color w:val="231F20"/>
          <w:spacing w:val="-4"/>
          <w:sz w:val="16"/>
        </w:rPr>
        <w:t> </w:t>
      </w:r>
      <w:r>
        <w:rPr>
          <w:rFonts w:ascii="Arial"/>
          <w:b/>
          <w:color w:val="231F20"/>
          <w:sz w:val="16"/>
        </w:rPr>
        <w:t>GUEST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EDITOR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SECTION</w:t>
      </w:r>
    </w:p>
    <w:p>
      <w:pPr>
        <w:pStyle w:val="BodyText"/>
        <w:spacing w:line="50" w:lineRule="exact"/>
        <w:ind w:left="114"/>
        <w:rPr>
          <w:rFonts w:ascii="Arial"/>
          <w:sz w:val="5"/>
        </w:rPr>
      </w:pPr>
      <w:r>
        <w:rPr>
          <w:rFonts w:ascii="Arial"/>
          <w:position w:val="0"/>
          <w:sz w:val="5"/>
        </w:rPr>
        <w:pict>
          <v:group style="width:474pt;height:2.5pt;mso-position-horizontal-relative:char;mso-position-vertical-relative:line" coordorigin="0,0" coordsize="9480,50">
            <v:shape style="position:absolute;left:0;top:0;width:2688;height:50" coordorigin="0,0" coordsize="2688,50" path="m2688,0l0,0,0,10,0,20,0,50,2688,50,2688,20,2688,10,2688,0xe" filled="true" fillcolor="#231f20" stroked="false">
              <v:path arrowok="t"/>
              <v:fill type="solid"/>
            </v:shape>
            <v:line style="position:absolute" from="0,24" to="9480,24" stroked="true" strokeweight=".6pt" strokecolor="#231f20">
              <v:stroke dashstyle="solid"/>
            </v:line>
          </v:group>
        </w:pict>
      </w:r>
      <w:r>
        <w:rPr>
          <w:rFonts w:ascii="Arial"/>
          <w:position w:val="0"/>
          <w:sz w:val="5"/>
        </w:rPr>
      </w:r>
    </w:p>
    <w:p>
      <w:pPr>
        <w:spacing w:line="407" w:lineRule="exact" w:before="111"/>
        <w:ind w:left="120" w:right="0" w:firstLine="0"/>
        <w:jc w:val="left"/>
        <w:rPr>
          <w:b/>
          <w:sz w:val="36"/>
        </w:rPr>
      </w:pPr>
      <w:r>
        <w:rPr>
          <w:b/>
          <w:color w:val="231F20"/>
          <w:spacing w:val="-4"/>
          <w:sz w:val="36"/>
        </w:rPr>
        <w:t>Determination</w:t>
      </w:r>
      <w:r>
        <w:rPr>
          <w:b/>
          <w:color w:val="231F20"/>
          <w:spacing w:val="-8"/>
          <w:sz w:val="36"/>
        </w:rPr>
        <w:t> </w:t>
      </w:r>
      <w:r>
        <w:rPr>
          <w:b/>
          <w:color w:val="231F20"/>
          <w:spacing w:val="-4"/>
          <w:sz w:val="36"/>
        </w:rPr>
        <w:t>of</w:t>
      </w:r>
      <w:r>
        <w:rPr>
          <w:b/>
          <w:color w:val="231F20"/>
          <w:spacing w:val="-8"/>
          <w:sz w:val="36"/>
        </w:rPr>
        <w:t> </w:t>
      </w:r>
      <w:r>
        <w:rPr>
          <w:b/>
          <w:color w:val="231F20"/>
          <w:spacing w:val="-4"/>
          <w:sz w:val="36"/>
        </w:rPr>
        <w:t>Kjeldahl</w:t>
      </w:r>
      <w:r>
        <w:rPr>
          <w:b/>
          <w:color w:val="231F20"/>
          <w:spacing w:val="-8"/>
          <w:sz w:val="36"/>
        </w:rPr>
        <w:t> </w:t>
      </w:r>
      <w:r>
        <w:rPr>
          <w:b/>
          <w:color w:val="231F20"/>
          <w:spacing w:val="-4"/>
          <w:sz w:val="36"/>
        </w:rPr>
        <w:t>Nitrogen</w:t>
      </w:r>
      <w:r>
        <w:rPr>
          <w:b/>
          <w:color w:val="231F20"/>
          <w:spacing w:val="-8"/>
          <w:sz w:val="36"/>
        </w:rPr>
        <w:t> </w:t>
      </w:r>
      <w:r>
        <w:rPr>
          <w:b/>
          <w:color w:val="231F20"/>
          <w:spacing w:val="-3"/>
          <w:sz w:val="36"/>
        </w:rPr>
        <w:t>in</w:t>
      </w:r>
      <w:r>
        <w:rPr>
          <w:b/>
          <w:color w:val="231F20"/>
          <w:spacing w:val="-7"/>
          <w:sz w:val="36"/>
        </w:rPr>
        <w:t> </w:t>
      </w:r>
      <w:r>
        <w:rPr>
          <w:b/>
          <w:color w:val="231F20"/>
          <w:spacing w:val="-3"/>
          <w:sz w:val="36"/>
        </w:rPr>
        <w:t>Fertilizers</w:t>
      </w:r>
      <w:r>
        <w:rPr>
          <w:b/>
          <w:color w:val="231F20"/>
          <w:spacing w:val="-8"/>
          <w:sz w:val="36"/>
        </w:rPr>
        <w:t> </w:t>
      </w:r>
      <w:r>
        <w:rPr>
          <w:b/>
          <w:color w:val="231F20"/>
          <w:spacing w:val="-3"/>
          <w:sz w:val="36"/>
        </w:rPr>
        <w:t>by</w:t>
      </w:r>
      <w:r>
        <w:rPr>
          <w:b/>
          <w:color w:val="231F20"/>
          <w:spacing w:val="-28"/>
          <w:sz w:val="36"/>
        </w:rPr>
        <w:t> </w:t>
      </w:r>
      <w:r>
        <w:rPr>
          <w:b/>
          <w:color w:val="231F20"/>
          <w:spacing w:val="-3"/>
          <w:sz w:val="36"/>
        </w:rPr>
        <w:t>AOAC</w:t>
      </w:r>
    </w:p>
    <w:p>
      <w:pPr>
        <w:spacing w:line="407" w:lineRule="exact" w:before="0"/>
        <w:ind w:left="120" w:right="0" w:firstLine="0"/>
        <w:jc w:val="left"/>
        <w:rPr>
          <w:b/>
          <w:sz w:val="36"/>
        </w:rPr>
      </w:pPr>
      <w:r>
        <w:rPr>
          <w:b/>
          <w:i/>
          <w:color w:val="231F20"/>
          <w:spacing w:val="-4"/>
          <w:sz w:val="36"/>
        </w:rPr>
        <w:t>Of</w:t>
      </w:r>
      <w:r>
        <w:rPr>
          <w:b/>
          <w:i/>
          <w:color w:val="231F20"/>
          <w:spacing w:val="-2"/>
          <w:w w:val="91"/>
          <w:sz w:val="36"/>
        </w:rPr>
        <w:t>fi</w:t>
      </w:r>
      <w:r>
        <w:rPr>
          <w:b/>
          <w:i/>
          <w:color w:val="231F20"/>
          <w:spacing w:val="-4"/>
          <w:sz w:val="36"/>
        </w:rPr>
        <w:t>cia</w:t>
      </w:r>
      <w:r>
        <w:rPr>
          <w:b/>
          <w:i/>
          <w:color w:val="231F20"/>
          <w:sz w:val="36"/>
        </w:rPr>
        <w:t>l</w:t>
      </w:r>
      <w:r>
        <w:rPr>
          <w:b/>
          <w:i/>
          <w:color w:val="231F20"/>
          <w:spacing w:val="-8"/>
          <w:sz w:val="36"/>
        </w:rPr>
        <w:t> </w:t>
      </w:r>
      <w:r>
        <w:rPr>
          <w:b/>
          <w:i/>
          <w:color w:val="231F20"/>
          <w:spacing w:val="-4"/>
          <w:sz w:val="36"/>
        </w:rPr>
        <w:t>Metho</w:t>
      </w:r>
      <w:r>
        <w:rPr>
          <w:b/>
          <w:i/>
          <w:color w:val="231F20"/>
          <w:spacing w:val="-3"/>
          <w:sz w:val="36"/>
        </w:rPr>
        <w:t>d</w:t>
      </w:r>
      <w:r>
        <w:rPr>
          <w:b/>
          <w:color w:val="231F20"/>
          <w:spacing w:val="-2"/>
          <w:w w:val="98"/>
          <w:position w:val="16"/>
          <w:sz w:val="17"/>
        </w:rPr>
        <w:t>S</w:t>
      </w:r>
      <w:r>
        <w:rPr>
          <w:b/>
          <w:color w:val="231F20"/>
          <w:w w:val="98"/>
          <w:position w:val="16"/>
          <w:sz w:val="17"/>
        </w:rPr>
        <w:t>M</w:t>
      </w:r>
      <w:r>
        <w:rPr>
          <w:b/>
          <w:color w:val="231F20"/>
          <w:position w:val="16"/>
          <w:sz w:val="17"/>
        </w:rPr>
        <w:t> </w:t>
      </w:r>
      <w:r>
        <w:rPr>
          <w:b/>
          <w:color w:val="231F20"/>
          <w:spacing w:val="-1"/>
          <w:position w:val="16"/>
          <w:sz w:val="17"/>
        </w:rPr>
        <w:t> </w:t>
      </w:r>
      <w:r>
        <w:rPr>
          <w:b/>
          <w:color w:val="231F20"/>
          <w:spacing w:val="-4"/>
          <w:sz w:val="36"/>
        </w:rPr>
        <w:t>978.02</w:t>
      </w:r>
      <w:r>
        <w:rPr>
          <w:b/>
          <w:color w:val="231F20"/>
          <w:sz w:val="36"/>
        </w:rPr>
        <w:t>:</w:t>
      </w:r>
      <w:r>
        <w:rPr>
          <w:b/>
          <w:color w:val="231F20"/>
          <w:spacing w:val="-8"/>
          <w:sz w:val="36"/>
        </w:rPr>
        <w:t> </w:t>
      </w:r>
      <w:r>
        <w:rPr>
          <w:b/>
          <w:color w:val="231F20"/>
          <w:spacing w:val="-4"/>
          <w:sz w:val="36"/>
        </w:rPr>
        <w:t>Effec</w:t>
      </w:r>
      <w:r>
        <w:rPr>
          <w:b/>
          <w:color w:val="231F20"/>
          <w:sz w:val="36"/>
        </w:rPr>
        <w:t>t</w:t>
      </w:r>
      <w:r>
        <w:rPr>
          <w:b/>
          <w:color w:val="231F20"/>
          <w:spacing w:val="-8"/>
          <w:sz w:val="36"/>
        </w:rPr>
        <w:t> </w:t>
      </w:r>
      <w:r>
        <w:rPr>
          <w:b/>
          <w:color w:val="231F20"/>
          <w:spacing w:val="-4"/>
          <w:sz w:val="36"/>
        </w:rPr>
        <w:t>o</w:t>
      </w:r>
      <w:r>
        <w:rPr>
          <w:b/>
          <w:color w:val="231F20"/>
          <w:sz w:val="36"/>
        </w:rPr>
        <w:t>f</w:t>
      </w:r>
      <w:r>
        <w:rPr>
          <w:b/>
          <w:color w:val="231F20"/>
          <w:spacing w:val="-8"/>
          <w:sz w:val="36"/>
        </w:rPr>
        <w:t> </w:t>
      </w:r>
      <w:r>
        <w:rPr>
          <w:b/>
          <w:color w:val="231F20"/>
          <w:spacing w:val="-4"/>
          <w:sz w:val="36"/>
        </w:rPr>
        <w:t>Coppe</w:t>
      </w:r>
      <w:r>
        <w:rPr>
          <w:b/>
          <w:color w:val="231F20"/>
          <w:sz w:val="36"/>
        </w:rPr>
        <w:t>r</w:t>
      </w:r>
      <w:r>
        <w:rPr>
          <w:b/>
          <w:color w:val="231F20"/>
          <w:spacing w:val="-14"/>
          <w:sz w:val="36"/>
        </w:rPr>
        <w:t> </w:t>
      </w:r>
      <w:r>
        <w:rPr>
          <w:b/>
          <w:color w:val="231F20"/>
          <w:spacing w:val="-4"/>
          <w:sz w:val="36"/>
        </w:rPr>
        <w:t>Sulfat</w:t>
      </w:r>
      <w:r>
        <w:rPr>
          <w:b/>
          <w:color w:val="231F20"/>
          <w:sz w:val="36"/>
        </w:rPr>
        <w:t>e</w:t>
      </w:r>
      <w:r>
        <w:rPr>
          <w:b/>
          <w:color w:val="231F20"/>
          <w:spacing w:val="-8"/>
          <w:sz w:val="36"/>
        </w:rPr>
        <w:t> </w:t>
      </w:r>
      <w:r>
        <w:rPr>
          <w:b/>
          <w:color w:val="231F20"/>
          <w:spacing w:val="-4"/>
          <w:sz w:val="36"/>
        </w:rPr>
        <w:t>a</w:t>
      </w:r>
      <w:r>
        <w:rPr>
          <w:b/>
          <w:color w:val="231F20"/>
          <w:sz w:val="36"/>
        </w:rPr>
        <w:t>s</w:t>
      </w:r>
      <w:r>
        <w:rPr>
          <w:b/>
          <w:color w:val="231F20"/>
          <w:spacing w:val="-8"/>
          <w:sz w:val="36"/>
        </w:rPr>
        <w:t> </w:t>
      </w:r>
      <w:r>
        <w:rPr>
          <w:b/>
          <w:color w:val="231F20"/>
          <w:sz w:val="36"/>
        </w:rPr>
        <w:t>a</w:t>
      </w:r>
      <w:r>
        <w:rPr>
          <w:b/>
          <w:color w:val="231F20"/>
          <w:spacing w:val="-8"/>
          <w:sz w:val="36"/>
        </w:rPr>
        <w:t> </w:t>
      </w:r>
      <w:r>
        <w:rPr>
          <w:b/>
          <w:color w:val="231F20"/>
          <w:spacing w:val="-4"/>
          <w:sz w:val="36"/>
        </w:rPr>
        <w:t>Catalyst</w:t>
      </w:r>
    </w:p>
    <w:p>
      <w:pPr>
        <w:tabs>
          <w:tab w:pos="4912" w:val="right" w:leader="none"/>
        </w:tabs>
        <w:spacing w:before="152"/>
        <w:ind w:left="120" w:right="0" w:firstLine="0"/>
        <w:jc w:val="left"/>
        <w:rPr>
          <w:b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3.023193pt;margin-top:12.451786pt;width:31.15pt;height:8.35pt;mso-position-horizontal-relative:page;mso-position-vertical-relative:paragraph;z-index:-16327168" type="#_x0000_t202" filled="false" stroked="false">
            <v:textbox inset="0,0,0,0">
              <w:txbxContent>
                <w:p>
                  <w:pPr>
                    <w:spacing w:line="166" w:lineRule="exact" w:before="0"/>
                    <w:ind w:left="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231F20"/>
                      <w:spacing w:val="-2"/>
                      <w:sz w:val="15"/>
                    </w:rPr>
                    <w:t>OJJATIE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sz w:val="20"/>
        </w:rPr>
        <w:t>D</w:t>
      </w:r>
      <w:r>
        <w:rPr>
          <w:b/>
          <w:color w:val="231F20"/>
          <w:sz w:val="15"/>
        </w:rPr>
        <w:t>EAN</w:t>
      </w:r>
      <w:r>
        <w:rPr>
          <w:b/>
          <w:color w:val="231F20"/>
          <w:spacing w:val="-1"/>
          <w:sz w:val="15"/>
        </w:rPr>
        <w:t> </w:t>
      </w:r>
      <w:r>
        <w:rPr>
          <w:b/>
          <w:color w:val="231F20"/>
          <w:sz w:val="20"/>
        </w:rPr>
        <w:t>A</w:t>
      </w:r>
      <w:r>
        <w:rPr>
          <w:b/>
          <w:color w:val="231F20"/>
          <w:sz w:val="15"/>
        </w:rPr>
        <w:t>BRAMS</w:t>
      </w:r>
      <w:r>
        <w:rPr>
          <w:b/>
          <w:color w:val="231F20"/>
          <w:sz w:val="20"/>
        </w:rPr>
        <w:t>,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D</w:t>
      </w:r>
      <w:r>
        <w:rPr>
          <w:b/>
          <w:color w:val="231F20"/>
          <w:sz w:val="15"/>
        </w:rPr>
        <w:t>AVID</w:t>
      </w:r>
      <w:r>
        <w:rPr>
          <w:b/>
          <w:color w:val="231F20"/>
          <w:spacing w:val="10"/>
          <w:sz w:val="15"/>
        </w:rPr>
        <w:t> </w:t>
      </w:r>
      <w:r>
        <w:rPr>
          <w:b/>
          <w:color w:val="231F20"/>
          <w:sz w:val="20"/>
        </w:rPr>
        <w:t>M</w:t>
      </w:r>
      <w:r>
        <w:rPr>
          <w:b/>
          <w:color w:val="231F20"/>
          <w:sz w:val="15"/>
        </w:rPr>
        <w:t>ETCALF</w:t>
      </w:r>
      <w:r>
        <w:rPr>
          <w:b/>
          <w:color w:val="231F20"/>
          <w:sz w:val="20"/>
        </w:rPr>
        <w:t>,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and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M</w:t>
      </w:r>
      <w:r>
        <w:rPr>
          <w:b/>
          <w:color w:val="231F20"/>
          <w:sz w:val="15"/>
        </w:rPr>
        <w:t>ICHAEL</w:t>
      </w:r>
      <w:r>
        <w:rPr>
          <w:b/>
          <w:color w:val="231F20"/>
          <w:spacing w:val="11"/>
          <w:sz w:val="15"/>
        </w:rPr>
        <w:t> </w:t>
      </w:r>
      <w:r>
        <w:rPr>
          <w:b/>
          <w:color w:val="231F20"/>
          <w:sz w:val="20"/>
        </w:rPr>
        <w:t>H</w:t>
        <w:tab/>
      </w:r>
      <w:r>
        <w:rPr>
          <w:b/>
          <w:color w:val="231F20"/>
          <w:position w:val="10"/>
          <w:sz w:val="14"/>
        </w:rPr>
        <w:t>1</w:t>
      </w:r>
    </w:p>
    <w:p>
      <w:pPr>
        <w:pStyle w:val="BodyText"/>
        <w:spacing w:before="8"/>
        <w:ind w:left="120"/>
      </w:pPr>
      <w:r>
        <w:rPr>
          <w:color w:val="231F20"/>
          <w:spacing w:val="-1"/>
        </w:rPr>
        <w:t>Tessenderlo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Kerley, Inc., Research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and Development</w:t>
      </w:r>
      <w:r>
        <w:rPr>
          <w:color w:val="231F20"/>
          <w:spacing w:val="-2"/>
        </w:rPr>
        <w:t> </w:t>
      </w:r>
      <w:r>
        <w:rPr>
          <w:color w:val="231F20"/>
        </w:rPr>
        <w:t>Department,</w:t>
      </w:r>
      <w:r>
        <w:rPr>
          <w:color w:val="231F20"/>
          <w:spacing w:val="-2"/>
        </w:rPr>
        <w:t> </w:t>
      </w:r>
      <w:r>
        <w:rPr>
          <w:color w:val="231F20"/>
        </w:rPr>
        <w:t>2045</w:t>
      </w:r>
      <w:r>
        <w:rPr>
          <w:color w:val="231F20"/>
          <w:spacing w:val="-2"/>
        </w:rPr>
        <w:t> </w:t>
      </w:r>
      <w:r>
        <w:rPr>
          <w:color w:val="231F20"/>
        </w:rPr>
        <w:t>N.</w:t>
      </w:r>
      <w:r>
        <w:rPr>
          <w:color w:val="231F20"/>
          <w:spacing w:val="-2"/>
        </w:rPr>
        <w:t> </w:t>
      </w:r>
      <w:r>
        <w:rPr>
          <w:color w:val="231F20"/>
        </w:rPr>
        <w:t>Forbes</w:t>
      </w:r>
      <w:r>
        <w:rPr>
          <w:color w:val="231F20"/>
          <w:spacing w:val="-2"/>
        </w:rPr>
        <w:t> </w:t>
      </w:r>
      <w:r>
        <w:rPr>
          <w:color w:val="231F20"/>
        </w:rPr>
        <w:t>Blvd,</w:t>
      </w:r>
      <w:r>
        <w:rPr>
          <w:color w:val="231F20"/>
          <w:spacing w:val="-1"/>
        </w:rPr>
        <w:t> </w:t>
      </w:r>
      <w:r>
        <w:rPr>
          <w:color w:val="231F20"/>
        </w:rPr>
        <w:t>#106,</w:t>
      </w:r>
      <w:r>
        <w:rPr>
          <w:color w:val="231F20"/>
          <w:spacing w:val="-6"/>
        </w:rPr>
        <w:t> </w:t>
      </w:r>
      <w:r>
        <w:rPr>
          <w:color w:val="231F20"/>
        </w:rPr>
        <w:t>Tucson,</w:t>
      </w:r>
      <w:r>
        <w:rPr>
          <w:color w:val="231F20"/>
          <w:spacing w:val="-11"/>
        </w:rPr>
        <w:t> </w:t>
      </w:r>
      <w:r>
        <w:rPr>
          <w:color w:val="231F20"/>
        </w:rPr>
        <w:t>AZ</w:t>
      </w:r>
      <w:r>
        <w:rPr>
          <w:color w:val="231F20"/>
          <w:spacing w:val="-2"/>
        </w:rPr>
        <w:t> </w:t>
      </w:r>
      <w:r>
        <w:rPr>
          <w:color w:val="231F20"/>
        </w:rPr>
        <w:t>85745</w:t>
      </w:r>
    </w:p>
    <w:p>
      <w:pPr>
        <w:spacing w:after="0"/>
        <w:sectPr>
          <w:type w:val="continuous"/>
          <w:pgSz w:w="11880" w:h="15840"/>
          <w:pgMar w:top="700" w:bottom="280" w:left="840" w:right="8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9.134705pt;margin-top:215.220001pt;width:10.95pt;height:361.5pt;mso-position-horizontal-relative:page;mso-position-vertical-relative:page;z-index:15730688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https://academic.oup.com/jaoac/article/97/3/764/5654772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17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May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2022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spacing w:line="259" w:lineRule="auto"/>
        <w:ind w:left="119" w:right="315"/>
      </w:pPr>
      <w:r>
        <w:rPr/>
        <w:pict>
          <v:line style="position:absolute;mso-position-horizontal-relative:page;mso-position-vertical-relative:paragraph;z-index:15730176" from="48pt,-12.429524pt" to="522pt,-12.429524pt" stroked="true" strokeweight=".5pt" strokecolor="#231f20">
            <v:stroke dashstyle="solid"/>
            <w10:wrap type="none"/>
          </v:line>
        </w:pict>
      </w:r>
      <w:r>
        <w:rPr>
          <w:color w:val="231F20"/>
          <w:spacing w:val="-1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AOAC</w:t>
      </w:r>
      <w:r>
        <w:rPr>
          <w:color w:val="231F20"/>
        </w:rPr>
        <w:t> </w:t>
      </w:r>
      <w:r>
        <w:rPr>
          <w:i/>
          <w:color w:val="231F20"/>
          <w:spacing w:val="-1"/>
        </w:rPr>
        <w:t>Official</w:t>
      </w:r>
      <w:r>
        <w:rPr>
          <w:i/>
          <w:color w:val="231F20"/>
        </w:rPr>
        <w:t> Method</w:t>
      </w:r>
      <w:r>
        <w:rPr>
          <w:color w:val="231F20"/>
          <w:vertAlign w:val="superscript"/>
        </w:rPr>
        <w:t>SM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955.04, Nitrogen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(Total)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vertAlign w:val="baseline"/>
        </w:rPr>
        <w:t>in Fertilizers, Kjeldahl Method, fertilizer materials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are analyzed using mercuric oxide or metallic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mercury (HgO or Hg) as a catalyst. AOAC </w:t>
      </w:r>
      <w:r>
        <w:rPr>
          <w:i/>
          <w:color w:val="231F20"/>
          <w:vertAlign w:val="baseline"/>
        </w:rPr>
        <w:t>Official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Method</w:t>
      </w:r>
      <w:r>
        <w:rPr>
          <w:color w:val="231F20"/>
          <w:vertAlign w:val="superscript"/>
        </w:rPr>
        <w:t>SM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970.02,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Nitrogen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(Total)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Fertilizers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 comprehensive total nitrogen (including nitrate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nitrogen) method adding chromium metal. AOAC</w:t>
      </w:r>
      <w:r>
        <w:rPr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Official Method</w:t>
      </w:r>
      <w:r>
        <w:rPr>
          <w:color w:val="231F20"/>
          <w:vertAlign w:val="superscript"/>
        </w:rPr>
        <w:t>SM</w:t>
      </w:r>
      <w:r>
        <w:rPr>
          <w:color w:val="231F20"/>
          <w:vertAlign w:val="baseline"/>
        </w:rPr>
        <w:t> 978.02, Nitrogen (Total) in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Fertilizers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modified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comprehensive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nitrogen</w:t>
      </w:r>
    </w:p>
    <w:p>
      <w:pPr>
        <w:spacing w:line="259" w:lineRule="auto" w:before="0"/>
        <w:ind w:left="119" w:right="58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method used to measure total nitrogen in fertilizers</w:t>
      </w:r>
      <w:r>
        <w:rPr>
          <w:rFonts w:ascii="Arial"/>
          <w:b/>
          <w:color w:val="231F20"/>
          <w:spacing w:val="1"/>
          <w:sz w:val="18"/>
        </w:rPr>
        <w:t> </w:t>
      </w:r>
      <w:r>
        <w:rPr>
          <w:rFonts w:ascii="Arial"/>
          <w:b/>
          <w:color w:val="231F20"/>
          <w:sz w:val="18"/>
        </w:rPr>
        <w:t>with two types of catalysts. In this method, either</w:t>
      </w:r>
      <w:r>
        <w:rPr>
          <w:rFonts w:ascii="Arial"/>
          <w:b/>
          <w:color w:val="231F20"/>
          <w:spacing w:val="1"/>
          <w:sz w:val="18"/>
        </w:rPr>
        <w:t> </w:t>
      </w:r>
      <w:r>
        <w:rPr>
          <w:rFonts w:ascii="Arial"/>
          <w:b/>
          <w:color w:val="231F20"/>
          <w:sz w:val="18"/>
        </w:rPr>
        <w:t>copper sulfate or chromium metal is added to</w:t>
      </w:r>
      <w:r>
        <w:rPr>
          <w:rFonts w:ascii="Arial"/>
          <w:b/>
          <w:color w:val="231F20"/>
          <w:spacing w:val="1"/>
          <w:sz w:val="18"/>
        </w:rPr>
        <w:t> </w:t>
      </w:r>
      <w:r>
        <w:rPr>
          <w:rFonts w:ascii="Arial"/>
          <w:b/>
          <w:color w:val="231F20"/>
          <w:sz w:val="18"/>
        </w:rPr>
        <w:t>analyze for total Kjeldahl nitrogen. In this study, the</w:t>
      </w:r>
      <w:r>
        <w:rPr>
          <w:rFonts w:ascii="Arial"/>
          <w:b/>
          <w:color w:val="231F20"/>
          <w:spacing w:val="1"/>
          <w:sz w:val="18"/>
        </w:rPr>
        <w:t> </w:t>
      </w:r>
      <w:r>
        <w:rPr>
          <w:rFonts w:ascii="Arial"/>
          <w:b/>
          <w:color w:val="231F20"/>
          <w:sz w:val="18"/>
        </w:rPr>
        <w:t>part of AOAC </w:t>
      </w:r>
      <w:r>
        <w:rPr>
          <w:rFonts w:ascii="Arial"/>
          <w:b/>
          <w:i/>
          <w:color w:val="231F20"/>
          <w:sz w:val="18"/>
        </w:rPr>
        <w:t>Official Method</w:t>
      </w:r>
      <w:r>
        <w:rPr>
          <w:rFonts w:ascii="Arial"/>
          <w:b/>
          <w:color w:val="231F20"/>
          <w:sz w:val="18"/>
          <w:vertAlign w:val="superscript"/>
        </w:rPr>
        <w:t>SM</w:t>
      </w:r>
      <w:r>
        <w:rPr>
          <w:rFonts w:ascii="Arial"/>
          <w:b/>
          <w:color w:val="231F20"/>
          <w:sz w:val="18"/>
          <w:vertAlign w:val="baseline"/>
        </w:rPr>
        <w:t> 978.02 that is for</w:t>
      </w:r>
      <w:r>
        <w:rPr>
          <w:rFonts w:ascii="Arial"/>
          <w:b/>
          <w:color w:val="231F20"/>
          <w:spacing w:val="1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nitrate-free fertilizer products was modified. The</w:t>
      </w:r>
      <w:r>
        <w:rPr>
          <w:rFonts w:ascii="Arial"/>
          <w:b/>
          <w:color w:val="231F20"/>
          <w:spacing w:val="1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objective was to examine the necessity of copper</w:t>
      </w:r>
      <w:r>
        <w:rPr>
          <w:rFonts w:ascii="Arial"/>
          <w:b/>
          <w:color w:val="231F20"/>
          <w:spacing w:val="1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sulfate as a catalyst for the nitrate-free fertilizer</w:t>
      </w:r>
      <w:r>
        <w:rPr>
          <w:rFonts w:ascii="Arial"/>
          <w:b/>
          <w:color w:val="231F20"/>
          <w:spacing w:val="1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products. Copper salts are not environmentally</w:t>
      </w:r>
      <w:r>
        <w:rPr>
          <w:rFonts w:ascii="Arial"/>
          <w:b/>
          <w:color w:val="231F20"/>
          <w:spacing w:val="1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friendly and are considered pollutants. Products</w:t>
      </w:r>
      <w:r>
        <w:rPr>
          <w:rFonts w:ascii="Arial"/>
          <w:b/>
          <w:color w:val="231F20"/>
          <w:spacing w:val="1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such as ammonium sulfate, diammonium phosphate,</w:t>
      </w:r>
      <w:r>
        <w:rPr>
          <w:rFonts w:ascii="Arial"/>
          <w:b/>
          <w:color w:val="231F20"/>
          <w:spacing w:val="-47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monoammonium phosphate, urea-containing</w:t>
      </w:r>
      <w:r>
        <w:rPr>
          <w:rFonts w:ascii="Arial"/>
          <w:b/>
          <w:color w:val="231F20"/>
          <w:spacing w:val="1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fertilizers such as isobutylene diurea (IBDU), and</w:t>
      </w:r>
      <w:r>
        <w:rPr>
          <w:rFonts w:ascii="Arial"/>
          <w:b/>
          <w:color w:val="231F20"/>
          <w:spacing w:val="1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urea-triazone</w:t>
      </w:r>
      <w:r>
        <w:rPr>
          <w:rFonts w:ascii="Arial"/>
          <w:b/>
          <w:color w:val="231F20"/>
          <w:spacing w:val="-2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fertilizer</w:t>
      </w:r>
      <w:r>
        <w:rPr>
          <w:rFonts w:ascii="Arial"/>
          <w:b/>
          <w:color w:val="231F20"/>
          <w:spacing w:val="-1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solutions</w:t>
      </w:r>
      <w:r>
        <w:rPr>
          <w:rFonts w:ascii="Arial"/>
          <w:b/>
          <w:color w:val="231F20"/>
          <w:spacing w:val="-2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were</w:t>
      </w:r>
      <w:r>
        <w:rPr>
          <w:rFonts w:ascii="Arial"/>
          <w:b/>
          <w:color w:val="231F20"/>
          <w:spacing w:val="-2"/>
          <w:sz w:val="18"/>
          <w:vertAlign w:val="baseline"/>
        </w:rPr>
        <w:t> </w:t>
      </w:r>
      <w:r>
        <w:rPr>
          <w:rFonts w:ascii="Arial"/>
          <w:b/>
          <w:color w:val="231F20"/>
          <w:sz w:val="18"/>
          <w:vertAlign w:val="baseline"/>
        </w:rPr>
        <w:t>examined.</w:t>
      </w:r>
    </w:p>
    <w:p>
      <w:pPr>
        <w:pStyle w:val="Heading1"/>
        <w:spacing w:line="259" w:lineRule="auto"/>
        <w:ind w:left="119" w:right="91"/>
      </w:pPr>
      <w:r>
        <w:rPr>
          <w:color w:val="231F20"/>
        </w:rPr>
        <w:t>The first part of the study was to measure Kjeldahl</w:t>
      </w:r>
      <w:r>
        <w:rPr>
          <w:color w:val="231F20"/>
          <w:spacing w:val="1"/>
        </w:rPr>
        <w:t> </w:t>
      </w:r>
      <w:r>
        <w:rPr>
          <w:color w:val="231F20"/>
        </w:rPr>
        <w:t>nitrogen as recommended by AOAC </w:t>
      </w:r>
      <w:r>
        <w:rPr>
          <w:i/>
          <w:color w:val="231F20"/>
        </w:rPr>
        <w:t>Official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Method</w:t>
      </w:r>
      <w:r>
        <w:rPr>
          <w:color w:val="231F20"/>
          <w:vertAlign w:val="superscript"/>
        </w:rPr>
        <w:t>SM</w:t>
      </w:r>
      <w:r>
        <w:rPr>
          <w:color w:val="231F20"/>
          <w:vertAlign w:val="baseline"/>
        </w:rPr>
        <w:t> 978.02. The second part of the study was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 exclude the addition of copper sulfate from AOAC</w:t>
      </w:r>
      <w:r>
        <w:rPr>
          <w:color w:val="231F20"/>
          <w:spacing w:val="-47"/>
          <w:vertAlign w:val="baseline"/>
        </w:rPr>
        <w:t> </w:t>
      </w:r>
      <w:r>
        <w:rPr>
          <w:i/>
          <w:color w:val="231F20"/>
          <w:vertAlign w:val="baseline"/>
        </w:rPr>
        <w:t>Official Method</w:t>
      </w:r>
      <w:r>
        <w:rPr>
          <w:color w:val="231F20"/>
          <w:vertAlign w:val="superscript"/>
        </w:rPr>
        <w:t>SM</w:t>
      </w:r>
      <w:r>
        <w:rPr>
          <w:color w:val="231F20"/>
          <w:vertAlign w:val="baseline"/>
        </w:rPr>
        <w:t> 978.02 to examine the necessity of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vertAlign w:val="baseline"/>
        </w:rPr>
        <w:t>copper sulfate as a catalyst in nitrate-free fertilizers,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vertAlign w:val="baseline"/>
        </w:rPr>
        <w:t>which was the primary objective. Our findings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indicate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copper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sulfate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eliminated</w:t>
      </w:r>
    </w:p>
    <w:p>
      <w:pPr>
        <w:spacing w:line="259" w:lineRule="auto" w:before="0"/>
        <w:ind w:left="120" w:right="30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from the method with no significant difference in</w:t>
      </w:r>
      <w:r>
        <w:rPr>
          <w:rFonts w:ascii="Arial"/>
          <w:b/>
          <w:color w:val="231F20"/>
          <w:spacing w:val="1"/>
          <w:sz w:val="18"/>
        </w:rPr>
        <w:t> </w:t>
      </w:r>
      <w:r>
        <w:rPr>
          <w:rFonts w:ascii="Arial"/>
          <w:b/>
          <w:color w:val="231F20"/>
          <w:sz w:val="18"/>
        </w:rPr>
        <w:t>the results for the nitrogen content of the fertilizer</w:t>
      </w:r>
      <w:r>
        <w:rPr>
          <w:rFonts w:ascii="Arial"/>
          <w:b/>
          <w:color w:val="231F20"/>
          <w:spacing w:val="-48"/>
          <w:sz w:val="18"/>
        </w:rPr>
        <w:t> </w:t>
      </w:r>
      <w:r>
        <w:rPr>
          <w:rFonts w:ascii="Arial"/>
          <w:b/>
          <w:color w:val="231F20"/>
          <w:sz w:val="18"/>
        </w:rPr>
        <w:t>products.</w:t>
      </w:r>
    </w:p>
    <w:p>
      <w:pPr>
        <w:pStyle w:val="BodyText"/>
        <w:spacing w:before="8"/>
        <w:rPr>
          <w:rFonts w:ascii="Arial"/>
          <w:b/>
          <w:sz w:val="16"/>
        </w:rPr>
      </w:pPr>
      <w:r>
        <w:rPr/>
        <w:pict>
          <v:shape style="position:absolute;margin-left:48pt;margin-top:11.967831pt;width:228pt;height:.1pt;mso-position-horizontal-relative:page;mso-position-vertical-relative:paragraph;z-index:-15728128;mso-wrap-distance-left:0;mso-wrap-distance-right:0" coordorigin="960,239" coordsize="4560,0" path="m960,239l5520,239e" filled="false" stroked="true" strokeweight=".7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256" w:lineRule="auto"/>
        <w:ind w:left="120" w:right="38" w:firstLine="515"/>
        <w:jc w:val="right"/>
      </w:pPr>
      <w:r>
        <w:rPr/>
        <w:pict>
          <v:shape style="position:absolute;margin-left:48pt;margin-top:-7.226783pt;width:25.8pt;height:46.8pt;mso-position-horizontal-relative:page;mso-position-vertical-relative:paragraph;z-index:-16326656" type="#_x0000_t202" filled="false" stroked="false">
            <v:textbox inset="0,0,0,0">
              <w:txbxContent>
                <w:p>
                  <w:pPr>
                    <w:spacing w:line="934" w:lineRule="exact" w:before="0"/>
                    <w:ind w:left="0" w:right="0" w:firstLine="0"/>
                    <w:jc w:val="left"/>
                    <w:rPr>
                      <w:sz w:val="84"/>
                    </w:rPr>
                  </w:pPr>
                  <w:r>
                    <w:rPr>
                      <w:color w:val="231F20"/>
                      <w:w w:val="100"/>
                      <w:sz w:val="8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Kjeldahl</w:t>
      </w:r>
      <w:r>
        <w:rPr>
          <w:color w:val="231F20"/>
          <w:spacing w:val="-9"/>
        </w:rPr>
        <w:t> </w:t>
      </w:r>
      <w:r>
        <w:rPr>
          <w:color w:val="231F20"/>
        </w:rPr>
        <w:t>method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developed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1883</w:t>
      </w:r>
      <w:r>
        <w:rPr>
          <w:color w:val="231F20"/>
          <w:spacing w:val="-8"/>
        </w:rPr>
        <w:t> </w:t>
      </w:r>
      <w:r>
        <w:rPr>
          <w:color w:val="231F20"/>
        </w:rPr>
        <w:t>(1).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quantitative</w:t>
      </w:r>
      <w:r>
        <w:rPr>
          <w:color w:val="231F20"/>
          <w:spacing w:val="4"/>
        </w:rPr>
        <w:t> </w:t>
      </w:r>
      <w:r>
        <w:rPr>
          <w:color w:val="231F20"/>
        </w:rPr>
        <w:t>determination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nitrogen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various</w:t>
      </w:r>
      <w:r>
        <w:rPr>
          <w:color w:val="231F20"/>
          <w:spacing w:val="1"/>
        </w:rPr>
        <w:t> </w:t>
      </w:r>
      <w:r>
        <w:rPr>
          <w:color w:val="231F20"/>
        </w:rPr>
        <w:t>chemical</w:t>
      </w:r>
      <w:r>
        <w:rPr>
          <w:color w:val="231F20"/>
          <w:spacing w:val="1"/>
        </w:rPr>
        <w:t> </w:t>
      </w:r>
      <w:r>
        <w:rPr>
          <w:color w:val="231F20"/>
        </w:rPr>
        <w:t>substances.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involves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digestion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nitrogen-containing</w:t>
      </w:r>
      <w:r>
        <w:rPr>
          <w:color w:val="231F20"/>
          <w:spacing w:val="27"/>
        </w:rPr>
        <w:t> </w:t>
      </w:r>
      <w:r>
        <w:rPr>
          <w:color w:val="231F20"/>
        </w:rPr>
        <w:t>compounds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sulfuric</w:t>
      </w:r>
      <w:r>
        <w:rPr>
          <w:color w:val="231F20"/>
          <w:spacing w:val="28"/>
        </w:rPr>
        <w:t> </w:t>
      </w:r>
      <w:r>
        <w:rPr>
          <w:color w:val="231F20"/>
        </w:rPr>
        <w:t>acid</w:t>
      </w:r>
      <w:r>
        <w:rPr>
          <w:color w:val="231F20"/>
          <w:spacing w:val="28"/>
        </w:rPr>
        <w:t> </w:t>
      </w:r>
      <w:r>
        <w:rPr>
          <w:color w:val="231F20"/>
        </w:rPr>
        <w:t>using</w:t>
      </w:r>
      <w:r>
        <w:rPr>
          <w:color w:val="231F20"/>
          <w:spacing w:val="29"/>
        </w:rPr>
        <w:t> </w:t>
      </w:r>
      <w:r>
        <w:rPr>
          <w:color w:val="231F20"/>
        </w:rPr>
        <w:t>heat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conversion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nitrogen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ammonium</w:t>
      </w:r>
      <w:r>
        <w:rPr>
          <w:color w:val="231F20"/>
          <w:spacing w:val="15"/>
        </w:rPr>
        <w:t> </w:t>
      </w:r>
      <w:r>
        <w:rPr>
          <w:color w:val="231F20"/>
        </w:rPr>
        <w:t>ions.</w:t>
      </w:r>
      <w:r>
        <w:rPr>
          <w:color w:val="231F20"/>
          <w:spacing w:val="15"/>
        </w:rPr>
        <w:t> </w:t>
      </w:r>
      <w:r>
        <w:rPr>
          <w:color w:val="231F20"/>
        </w:rPr>
        <w:t>Potassium</w:t>
      </w:r>
      <w:r>
        <w:rPr>
          <w:color w:val="231F20"/>
          <w:spacing w:val="-42"/>
        </w:rPr>
        <w:t> </w:t>
      </w:r>
      <w:r>
        <w:rPr>
          <w:color w:val="231F20"/>
        </w:rPr>
        <w:t>sulfate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added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increase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boiling</w:t>
      </w:r>
      <w:r>
        <w:rPr>
          <w:color w:val="231F20"/>
          <w:spacing w:val="-10"/>
        </w:rPr>
        <w:t> </w:t>
      </w:r>
      <w:r>
        <w:rPr>
          <w:color w:val="231F20"/>
        </w:rPr>
        <w:t>point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acid</w:t>
      </w:r>
      <w:r>
        <w:rPr>
          <w:color w:val="231F20"/>
          <w:spacing w:val="-10"/>
        </w:rPr>
        <w:t> </w:t>
      </w:r>
      <w:r>
        <w:rPr>
          <w:color w:val="231F20"/>
        </w:rPr>
        <w:t>solution.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solution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1"/>
        </w:rPr>
        <w:t> </w:t>
      </w:r>
      <w:r>
        <w:rPr>
          <w:color w:val="231F20"/>
        </w:rPr>
        <w:t>distilled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caustic</w:t>
      </w:r>
      <w:r>
        <w:rPr>
          <w:color w:val="231F20"/>
          <w:spacing w:val="1"/>
        </w:rPr>
        <w:t> </w:t>
      </w:r>
      <w:r>
        <w:rPr>
          <w:color w:val="231F20"/>
        </w:rPr>
        <w:t>soda</w:t>
      </w:r>
      <w:r>
        <w:rPr>
          <w:color w:val="231F20"/>
          <w:spacing w:val="1"/>
        </w:rPr>
        <w:t> </w:t>
      </w:r>
      <w:r>
        <w:rPr>
          <w:color w:val="231F20"/>
        </w:rPr>
        <w:t>(NaOH)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liberate</w:t>
      </w:r>
      <w:r>
        <w:rPr>
          <w:color w:val="231F20"/>
          <w:spacing w:val="40"/>
        </w:rPr>
        <w:t> </w:t>
      </w:r>
      <w:r>
        <w:rPr>
          <w:color w:val="231F20"/>
        </w:rPr>
        <w:t>ammonia</w:t>
      </w:r>
      <w:r>
        <w:rPr>
          <w:color w:val="231F20"/>
          <w:spacing w:val="41"/>
        </w:rPr>
        <w:t> </w:t>
      </w:r>
      <w:r>
        <w:rPr>
          <w:color w:val="231F20"/>
        </w:rPr>
        <w:t>gas,</w:t>
      </w:r>
      <w:r>
        <w:rPr>
          <w:color w:val="231F20"/>
          <w:spacing w:val="41"/>
        </w:rPr>
        <w:t> </w:t>
      </w:r>
      <w:r>
        <w:rPr>
          <w:color w:val="231F20"/>
        </w:rPr>
        <w:t>which</w:t>
      </w:r>
      <w:r>
        <w:rPr>
          <w:color w:val="231F20"/>
          <w:spacing w:val="41"/>
        </w:rPr>
        <w:t> </w:t>
      </w:r>
      <w:r>
        <w:rPr>
          <w:color w:val="231F20"/>
        </w:rPr>
        <w:t>is</w:t>
      </w:r>
      <w:r>
        <w:rPr>
          <w:color w:val="231F20"/>
          <w:spacing w:val="41"/>
        </w:rPr>
        <w:t> </w:t>
      </w:r>
      <w:r>
        <w:rPr>
          <w:color w:val="231F20"/>
        </w:rPr>
        <w:t>absorbed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sulfuric</w:t>
      </w:r>
      <w:r>
        <w:rPr>
          <w:color w:val="231F20"/>
          <w:spacing w:val="41"/>
        </w:rPr>
        <w:t> </w:t>
      </w:r>
      <w:r>
        <w:rPr>
          <w:color w:val="231F20"/>
        </w:rPr>
        <w:t>acid</w:t>
      </w:r>
      <w:r>
        <w:rPr>
          <w:color w:val="231F20"/>
          <w:spacing w:val="-42"/>
        </w:rPr>
        <w:t> </w:t>
      </w:r>
      <w:r>
        <w:rPr>
          <w:color w:val="231F20"/>
        </w:rPr>
        <w:t>solution.</w:t>
      </w:r>
      <w:r>
        <w:rPr>
          <w:color w:val="231F20"/>
          <w:spacing w:val="4"/>
        </w:rPr>
        <w:t> </w:t>
      </w:r>
      <w:r>
        <w:rPr>
          <w:color w:val="231F20"/>
        </w:rPr>
        <w:t>Part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sulfuric</w:t>
      </w:r>
      <w:r>
        <w:rPr>
          <w:color w:val="231F20"/>
          <w:spacing w:val="5"/>
        </w:rPr>
        <w:t> </w:t>
      </w:r>
      <w:r>
        <w:rPr>
          <w:color w:val="231F20"/>
        </w:rPr>
        <w:t>acid</w:t>
      </w:r>
      <w:r>
        <w:rPr>
          <w:color w:val="231F20"/>
          <w:spacing w:val="4"/>
        </w:rPr>
        <w:t> </w:t>
      </w:r>
      <w:r>
        <w:rPr>
          <w:color w:val="231F20"/>
        </w:rPr>
        <w:t>solution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neutralized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</w:p>
    <w:p>
      <w:pPr>
        <w:pStyle w:val="BodyText"/>
        <w:spacing w:before="8"/>
        <w:rPr>
          <w:sz w:val="9"/>
        </w:rPr>
      </w:pPr>
      <w:r>
        <w:rPr/>
        <w:pict>
          <v:shape style="position:absolute;margin-left:48pt;margin-top:7.804043pt;width:228pt;height:.1pt;mso-position-horizontal-relative:page;mso-position-vertical-relative:paragraph;z-index:-15727616;mso-wrap-distance-left:0;mso-wrap-distance-right:0" coordorigin="960,156" coordsize="4560,0" path="m960,156l5520,156e" filled="false" stroked="true" strokeweight=".5pt" strokecolor="#231f20">
            <v:path arrowok="t"/>
            <v:stroke dashstyle="solid"/>
            <w10:wrap type="topAndBottom"/>
          </v:shape>
        </w:pict>
      </w:r>
    </w:p>
    <w:p>
      <w:pPr>
        <w:spacing w:line="235" w:lineRule="auto" w:before="4"/>
        <w:ind w:left="120" w:right="350" w:firstLine="180"/>
        <w:jc w:val="left"/>
        <w:rPr>
          <w:sz w:val="16"/>
        </w:rPr>
      </w:pPr>
      <w:r>
        <w:rPr>
          <w:color w:val="231F20"/>
          <w:spacing w:val="-1"/>
          <w:sz w:val="16"/>
        </w:rPr>
        <w:t>Guest edited as a special report </w:t>
      </w:r>
      <w:r>
        <w:rPr>
          <w:color w:val="231F20"/>
          <w:sz w:val="16"/>
        </w:rPr>
        <w:t>from the AOAC Agricultural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Community on “Collaborations in New and Improved Methods of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Food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Materials”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Nancy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Thiex.</w:t>
      </w:r>
    </w:p>
    <w:p>
      <w:pPr>
        <w:spacing w:line="235" w:lineRule="auto" w:before="0"/>
        <w:ind w:left="300" w:right="541" w:firstLine="0"/>
        <w:jc w:val="left"/>
        <w:rPr>
          <w:sz w:val="16"/>
        </w:rPr>
      </w:pPr>
      <w:r>
        <w:rPr>
          <w:color w:val="231F20"/>
          <w:sz w:val="16"/>
          <w:vertAlign w:val="superscript"/>
        </w:rPr>
        <w:t>1</w:t>
      </w:r>
      <w:r>
        <w:rPr>
          <w:color w:val="231F20"/>
          <w:spacing w:val="1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Corresponding author’s e-mail: </w:t>
      </w:r>
      <w:hyperlink r:id="rId5">
        <w:r>
          <w:rPr>
            <w:color w:val="231F20"/>
            <w:sz w:val="16"/>
            <w:vertAlign w:val="baseline"/>
          </w:rPr>
          <w:t>mhojjatie@tkinet.com</w:t>
        </w:r>
      </w:hyperlink>
      <w:r>
        <w:rPr>
          <w:color w:val="231F20"/>
          <w:spacing w:val="-3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DOI: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10.5740/jaoacint.13-299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9" w:lineRule="auto"/>
        <w:ind w:left="119" w:right="597"/>
        <w:jc w:val="both"/>
      </w:pPr>
      <w:r>
        <w:rPr>
          <w:color w:val="231F20"/>
        </w:rPr>
        <w:t>evolved ammonia gas, and the excess acid is back-titrated with</w:t>
      </w:r>
      <w:r>
        <w:rPr>
          <w:color w:val="231F20"/>
          <w:spacing w:val="-42"/>
        </w:rPr>
        <w:t> </w:t>
      </w:r>
      <w:r>
        <w:rPr>
          <w:color w:val="231F20"/>
        </w:rPr>
        <w:t>sodium</w:t>
      </w:r>
      <w:r>
        <w:rPr>
          <w:color w:val="231F20"/>
          <w:spacing w:val="-2"/>
        </w:rPr>
        <w:t> </w:t>
      </w:r>
      <w:r>
        <w:rPr>
          <w:color w:val="231F20"/>
        </w:rPr>
        <w:t>hydroxide.</w:t>
      </w:r>
    </w:p>
    <w:p>
      <w:pPr>
        <w:pStyle w:val="BodyText"/>
        <w:spacing w:line="259" w:lineRule="auto" w:before="1"/>
        <w:ind w:left="119" w:right="596" w:firstLine="180"/>
        <w:jc w:val="both"/>
      </w:pPr>
      <w:r>
        <w:rPr>
          <w:color w:val="231F20"/>
        </w:rPr>
        <w:t>There are several AOAC </w:t>
      </w:r>
      <w:r>
        <w:rPr>
          <w:i/>
          <w:color w:val="231F20"/>
        </w:rPr>
        <w:t>Official Methods</w:t>
      </w:r>
      <w:r>
        <w:rPr>
          <w:color w:val="231F20"/>
          <w:vertAlign w:val="superscript"/>
        </w:rPr>
        <w:t>SM</w:t>
      </w:r>
      <w:r>
        <w:rPr>
          <w:color w:val="231F20"/>
          <w:vertAlign w:val="baseline"/>
        </w:rPr>
        <w:t> regarding 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Kjeldahl digestion (2). AOAC </w:t>
      </w:r>
      <w:r>
        <w:rPr>
          <w:i/>
          <w:color w:val="231F20"/>
          <w:vertAlign w:val="baseline"/>
        </w:rPr>
        <w:t>Official Method</w:t>
      </w:r>
      <w:r>
        <w:rPr>
          <w:color w:val="231F20"/>
          <w:vertAlign w:val="superscript"/>
        </w:rPr>
        <w:t>SM</w:t>
      </w:r>
      <w:r>
        <w:rPr>
          <w:color w:val="231F20"/>
          <w:vertAlign w:val="baseline"/>
        </w:rPr>
        <w:t> </w:t>
      </w:r>
      <w:r>
        <w:rPr>
          <w:b/>
          <w:color w:val="231F20"/>
          <w:vertAlign w:val="baseline"/>
        </w:rPr>
        <w:t>955.04 </w:t>
      </w:r>
      <w:r>
        <w:rPr>
          <w:color w:val="231F20"/>
          <w:vertAlign w:val="baseline"/>
        </w:rPr>
        <w:t>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total nitrogen in fertilizers includes the use of catalysts such as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1"/>
          <w:vertAlign w:val="baseline"/>
        </w:rPr>
        <w:t>mercuric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1"/>
          <w:vertAlign w:val="baseline"/>
        </w:rPr>
        <w:t>oxide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or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1"/>
          <w:vertAlign w:val="baseline"/>
        </w:rPr>
        <w:t>metallic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mercury,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zinc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granules,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zinc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dust.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Parts C and D of AOAC </w:t>
      </w:r>
      <w:r>
        <w:rPr>
          <w:b/>
          <w:color w:val="231F20"/>
          <w:vertAlign w:val="baseline"/>
        </w:rPr>
        <w:t>955.04 </w:t>
      </w:r>
      <w:r>
        <w:rPr>
          <w:color w:val="231F20"/>
          <w:vertAlign w:val="baseline"/>
        </w:rPr>
        <w:t>are improved approaches 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nitrate-free fertilizer materials and nitrate-containing fertilizer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materials, respectively. AOAC </w:t>
      </w:r>
      <w:r>
        <w:rPr>
          <w:i/>
          <w:color w:val="231F20"/>
          <w:vertAlign w:val="baseline"/>
        </w:rPr>
        <w:t>Official Method</w:t>
      </w:r>
      <w:r>
        <w:rPr>
          <w:color w:val="231F20"/>
          <w:vertAlign w:val="superscript"/>
        </w:rPr>
        <w:t>SM</w:t>
      </w:r>
      <w:r>
        <w:rPr>
          <w:color w:val="231F20"/>
          <w:vertAlign w:val="baseline"/>
        </w:rPr>
        <w:t> </w:t>
      </w:r>
      <w:r>
        <w:rPr>
          <w:b/>
          <w:color w:val="231F20"/>
          <w:vertAlign w:val="baseline"/>
        </w:rPr>
        <w:t>970.02 </w:t>
      </w:r>
      <w:r>
        <w:rPr>
          <w:color w:val="231F20"/>
          <w:vertAlign w:val="baseline"/>
        </w:rPr>
        <w:t>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determination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nitrogen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fertilizers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includes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use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catalysts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chromium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metal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alundum.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Alundum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is mixture of aluminum oxide, silicate, ferric oxide, potassium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oxide, and sodium oxide. AOAC </w:t>
      </w:r>
      <w:r>
        <w:rPr>
          <w:i/>
          <w:color w:val="231F20"/>
          <w:vertAlign w:val="baseline"/>
        </w:rPr>
        <w:t>Official Method</w:t>
      </w:r>
      <w:r>
        <w:rPr>
          <w:color w:val="231F20"/>
          <w:vertAlign w:val="superscript"/>
        </w:rPr>
        <w:t>SM</w:t>
      </w:r>
      <w:r>
        <w:rPr>
          <w:color w:val="231F20"/>
          <w:vertAlign w:val="baseline"/>
        </w:rPr>
        <w:t> </w:t>
      </w:r>
      <w:r>
        <w:rPr>
          <w:b/>
          <w:color w:val="231F20"/>
          <w:vertAlign w:val="baseline"/>
        </w:rPr>
        <w:t>970.03 </w:t>
      </w:r>
      <w:r>
        <w:rPr>
          <w:color w:val="231F20"/>
          <w:vertAlign w:val="baseline"/>
        </w:rPr>
        <w:t>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applicable to all fertilizers except nitric phosphate compounds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 uses Raney nickel powder as a catalyst. AOAC </w:t>
      </w:r>
      <w:r>
        <w:rPr>
          <w:i/>
          <w:color w:val="231F20"/>
          <w:vertAlign w:val="baseline"/>
        </w:rPr>
        <w:t>Official</w:t>
      </w:r>
      <w:r>
        <w:rPr>
          <w:i/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Method</w:t>
      </w:r>
      <w:r>
        <w:rPr>
          <w:color w:val="231F20"/>
          <w:vertAlign w:val="superscript"/>
        </w:rPr>
        <w:t>SM</w:t>
      </w:r>
      <w:r>
        <w:rPr>
          <w:color w:val="231F20"/>
          <w:spacing w:val="1"/>
          <w:vertAlign w:val="baseline"/>
        </w:rPr>
        <w:t> </w:t>
      </w:r>
      <w:r>
        <w:rPr>
          <w:b/>
          <w:color w:val="231F20"/>
          <w:vertAlign w:val="baseline"/>
        </w:rPr>
        <w:t>920.03</w:t>
      </w:r>
      <w:r>
        <w:rPr>
          <w:b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(magnesium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oxide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method)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AOAC</w:t>
      </w:r>
      <w:r>
        <w:rPr>
          <w:color w:val="231F20"/>
          <w:spacing w:val="1"/>
          <w:vertAlign w:val="baseline"/>
        </w:rPr>
        <w:t> </w:t>
      </w:r>
      <w:r>
        <w:rPr>
          <w:i/>
          <w:color w:val="231F20"/>
          <w:vertAlign w:val="baseline"/>
        </w:rPr>
        <w:t>Official Method</w:t>
      </w:r>
      <w:r>
        <w:rPr>
          <w:color w:val="231F20"/>
          <w:vertAlign w:val="superscript"/>
        </w:rPr>
        <w:t>SM</w:t>
      </w:r>
      <w:r>
        <w:rPr>
          <w:color w:val="231F20"/>
          <w:vertAlign w:val="baseline"/>
        </w:rPr>
        <w:t> </w:t>
      </w:r>
      <w:r>
        <w:rPr>
          <w:b/>
          <w:color w:val="231F20"/>
          <w:vertAlign w:val="baseline"/>
        </w:rPr>
        <w:t>920.04 </w:t>
      </w:r>
      <w:r>
        <w:rPr>
          <w:color w:val="231F20"/>
          <w:vertAlign w:val="baseline"/>
        </w:rPr>
        <w:t>(formaldehyde titration method) are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used for ammoniacal nitrogen determination in fertilizers.</w:t>
      </w:r>
    </w:p>
    <w:p>
      <w:pPr>
        <w:pStyle w:val="BodyText"/>
        <w:spacing w:line="259" w:lineRule="auto" w:before="8"/>
        <w:ind w:left="120" w:right="596" w:firstLine="180"/>
        <w:jc w:val="both"/>
      </w:pPr>
      <w:r>
        <w:rPr>
          <w:color w:val="231F20"/>
        </w:rPr>
        <w:t>AOAC </w:t>
      </w:r>
      <w:r>
        <w:rPr>
          <w:i/>
          <w:color w:val="231F20"/>
        </w:rPr>
        <w:t>Official Method</w:t>
      </w:r>
      <w:r>
        <w:rPr>
          <w:color w:val="231F20"/>
          <w:vertAlign w:val="superscript"/>
        </w:rPr>
        <w:t>SM</w:t>
      </w:r>
      <w:r>
        <w:rPr>
          <w:color w:val="231F20"/>
          <w:vertAlign w:val="baseline"/>
        </w:rPr>
        <w:t> </w:t>
      </w:r>
      <w:r>
        <w:rPr>
          <w:b/>
          <w:color w:val="231F20"/>
          <w:vertAlign w:val="baseline"/>
        </w:rPr>
        <w:t>978.02 </w:t>
      </w:r>
      <w:r>
        <w:rPr>
          <w:color w:val="231F20"/>
          <w:vertAlign w:val="baseline"/>
        </w:rPr>
        <w:t>is for the determination of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w w:val="95"/>
          <w:vertAlign w:val="baseline"/>
        </w:rPr>
        <w:t>nitrogen (total) in fertilizers (Kjeldahl method) and is a modified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vertAlign w:val="baseline"/>
        </w:rPr>
        <w:t>comprehensive nitrogen method (Final Action 1984). In this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method, there are two ways to measure total nitrogen: one is to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add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copper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sulfate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analyze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Kjeldahl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nitrogen,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second is to proceed by adding chromium metal to analyze 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total nitrogen, including nitrate nitrogen.</w:t>
      </w:r>
    </w:p>
    <w:p>
      <w:pPr>
        <w:pStyle w:val="BodyText"/>
        <w:spacing w:line="259" w:lineRule="auto" w:before="4"/>
        <w:ind w:left="120" w:right="596" w:firstLine="180"/>
        <w:jc w:val="both"/>
      </w:pPr>
      <w:r>
        <w:rPr>
          <w:color w:val="231F20"/>
        </w:rPr>
        <w:t>The first approach involves the use of anhydrous copper</w:t>
      </w:r>
      <w:r>
        <w:rPr>
          <w:color w:val="231F20"/>
          <w:spacing w:val="1"/>
        </w:rPr>
        <w:t> </w:t>
      </w:r>
      <w:r>
        <w:rPr>
          <w:color w:val="231F20"/>
        </w:rPr>
        <w:t>sulfate or copper sulfate pentahydrate catalyst and alundum for</w:t>
      </w:r>
      <w:r>
        <w:rPr>
          <w:color w:val="231F20"/>
          <w:spacing w:val="-42"/>
        </w:rPr>
        <w:t> </w:t>
      </w:r>
      <w:r>
        <w:rPr>
          <w:color w:val="231F20"/>
        </w:rPr>
        <w:t>the nitrogen determination. Both copper and fused-aluminum</w:t>
      </w:r>
      <w:r>
        <w:rPr>
          <w:color w:val="231F20"/>
          <w:spacing w:val="1"/>
        </w:rPr>
        <w:t> </w:t>
      </w:r>
      <w:r>
        <w:rPr>
          <w:color w:val="231F20"/>
        </w:rPr>
        <w:t>oxide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environmentally</w:t>
      </w:r>
      <w:r>
        <w:rPr>
          <w:color w:val="231F20"/>
          <w:spacing w:val="1"/>
        </w:rPr>
        <w:t> </w:t>
      </w:r>
      <w:r>
        <w:rPr>
          <w:color w:val="231F20"/>
        </w:rPr>
        <w:t>hazardous</w:t>
      </w:r>
      <w:r>
        <w:rPr>
          <w:color w:val="231F20"/>
          <w:spacing w:val="1"/>
        </w:rPr>
        <w:t> </w:t>
      </w:r>
      <w:r>
        <w:rPr>
          <w:color w:val="231F20"/>
        </w:rPr>
        <w:t>materials.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second</w:t>
      </w:r>
      <w:r>
        <w:rPr>
          <w:color w:val="231F20"/>
          <w:spacing w:val="-42"/>
        </w:rPr>
        <w:t> </w:t>
      </w:r>
      <w:r>
        <w:rPr>
          <w:color w:val="231F20"/>
        </w:rPr>
        <w:t>option is to proceed by adding chromium metal to analyze for</w:t>
      </w:r>
      <w:r>
        <w:rPr>
          <w:color w:val="231F20"/>
          <w:spacing w:val="1"/>
        </w:rPr>
        <w:t> </w:t>
      </w:r>
      <w:r>
        <w:rPr>
          <w:color w:val="231F20"/>
        </w:rPr>
        <w:t>total nitrogen, including nitrate nitrogen. Chromium is also an</w:t>
      </w:r>
      <w:r>
        <w:rPr>
          <w:color w:val="231F20"/>
          <w:spacing w:val="1"/>
        </w:rPr>
        <w:t> </w:t>
      </w:r>
      <w:r>
        <w:rPr>
          <w:color w:val="231F20"/>
        </w:rPr>
        <w:t>environmentally</w:t>
      </w:r>
      <w:r>
        <w:rPr>
          <w:color w:val="231F20"/>
          <w:spacing w:val="-1"/>
        </w:rPr>
        <w:t> </w:t>
      </w:r>
      <w:r>
        <w:rPr>
          <w:color w:val="231F20"/>
        </w:rPr>
        <w:t>hazardous substance.</w:t>
      </w:r>
    </w:p>
    <w:p>
      <w:pPr>
        <w:pStyle w:val="BodyText"/>
        <w:spacing w:line="259" w:lineRule="auto" w:before="4"/>
        <w:ind w:left="120" w:right="597" w:firstLine="180"/>
        <w:jc w:val="both"/>
      </w:pPr>
      <w:r>
        <w:rPr>
          <w:color w:val="231F20"/>
        </w:rPr>
        <w:t>In order to determine whether the use of copper sulfate is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necessary,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series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measurements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done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without</w:t>
      </w:r>
      <w:r>
        <w:rPr>
          <w:color w:val="231F20"/>
          <w:spacing w:val="-42"/>
        </w:rPr>
        <w:t> </w:t>
      </w:r>
      <w:r>
        <w:rPr>
          <w:color w:val="231F20"/>
        </w:rPr>
        <w:t>copper sulfate catalyst. Early on in an internal series of studies,</w:t>
      </w:r>
      <w:r>
        <w:rPr>
          <w:color w:val="231F20"/>
          <w:spacing w:val="-42"/>
        </w:rPr>
        <w:t> </w:t>
      </w:r>
      <w:r>
        <w:rPr>
          <w:color w:val="231F20"/>
        </w:rPr>
        <w:t>when determining the total nitrogen in a variety of fertilizers,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1"/>
        </w:rPr>
        <w:t> </w:t>
      </w:r>
      <w:r>
        <w:rPr>
          <w:color w:val="231F20"/>
        </w:rPr>
        <w:t>ammonium</w:t>
      </w:r>
      <w:r>
        <w:rPr>
          <w:color w:val="231F20"/>
          <w:spacing w:val="1"/>
        </w:rPr>
        <w:t> </w:t>
      </w:r>
      <w:r>
        <w:rPr>
          <w:color w:val="231F20"/>
        </w:rPr>
        <w:t>sulfate,</w:t>
      </w:r>
      <w:r>
        <w:rPr>
          <w:color w:val="231F20"/>
          <w:spacing w:val="1"/>
        </w:rPr>
        <w:t> </w:t>
      </w:r>
      <w:r>
        <w:rPr>
          <w:color w:val="231F20"/>
        </w:rPr>
        <w:t>monoammonium</w:t>
      </w:r>
      <w:r>
        <w:rPr>
          <w:color w:val="231F20"/>
          <w:spacing w:val="1"/>
        </w:rPr>
        <w:t> </w:t>
      </w:r>
      <w:r>
        <w:rPr>
          <w:color w:val="231F20"/>
        </w:rPr>
        <w:t>phosphate</w:t>
      </w:r>
      <w:r>
        <w:rPr>
          <w:color w:val="231F20"/>
          <w:spacing w:val="-42"/>
        </w:rPr>
        <w:t> </w:t>
      </w:r>
      <w:r>
        <w:rPr>
          <w:color w:val="231F20"/>
        </w:rPr>
        <w:t>(MAP),</w:t>
      </w:r>
      <w:r>
        <w:rPr>
          <w:color w:val="231F20"/>
          <w:spacing w:val="1"/>
        </w:rPr>
        <w:t> </w:t>
      </w:r>
      <w:r>
        <w:rPr>
          <w:color w:val="231F20"/>
        </w:rPr>
        <w:t>diammonium</w:t>
      </w:r>
      <w:r>
        <w:rPr>
          <w:color w:val="231F20"/>
          <w:spacing w:val="1"/>
        </w:rPr>
        <w:t> </w:t>
      </w:r>
      <w:r>
        <w:rPr>
          <w:color w:val="231F20"/>
        </w:rPr>
        <w:t>phosphate</w:t>
      </w:r>
      <w:r>
        <w:rPr>
          <w:color w:val="231F20"/>
          <w:spacing w:val="1"/>
        </w:rPr>
        <w:t> </w:t>
      </w:r>
      <w:r>
        <w:rPr>
          <w:color w:val="231F20"/>
        </w:rPr>
        <w:t>(DAP),</w:t>
      </w:r>
      <w:r>
        <w:rPr>
          <w:color w:val="231F20"/>
          <w:spacing w:val="1"/>
        </w:rPr>
        <w:t> </w:t>
      </w:r>
      <w:r>
        <w:rPr>
          <w:color w:val="231F20"/>
        </w:rPr>
        <w:t>urea-containing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fertilizers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isobutylene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diurea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(IBDU),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urea-containing</w:t>
      </w:r>
      <w:r>
        <w:rPr>
          <w:color w:val="231F20"/>
          <w:spacing w:val="-42"/>
        </w:rPr>
        <w:t> </w:t>
      </w:r>
      <w:r>
        <w:rPr>
          <w:color w:val="231F20"/>
        </w:rPr>
        <w:t>triazone</w:t>
      </w:r>
      <w:r>
        <w:rPr>
          <w:color w:val="231F20"/>
          <w:spacing w:val="1"/>
        </w:rPr>
        <w:t> </w:t>
      </w:r>
      <w:r>
        <w:rPr>
          <w:color w:val="231F20"/>
        </w:rPr>
        <w:t>fertilizers,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determined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presence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  <w:spacing w:val="-1"/>
        </w:rPr>
        <w:t>alundum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necessary,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replaced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glass</w:t>
      </w:r>
      <w:r>
        <w:rPr>
          <w:color w:val="231F20"/>
          <w:spacing w:val="-10"/>
        </w:rPr>
        <w:t> </w:t>
      </w:r>
      <w:r>
        <w:rPr>
          <w:color w:val="231F20"/>
        </w:rPr>
        <w:t>beads.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1"/>
        <w:jc w:val="both"/>
      </w:pPr>
      <w:r>
        <w:rPr>
          <w:color w:val="231F20"/>
        </w:rPr>
        <w:t>Study Objectives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line="259" w:lineRule="auto"/>
        <w:ind w:left="120" w:right="597" w:firstLine="180"/>
        <w:jc w:val="both"/>
      </w:pPr>
      <w:r>
        <w:rPr>
          <w:color w:val="231F20"/>
        </w:rPr>
        <w:t>In this study, several types of fertilizer compounds were</w:t>
      </w:r>
      <w:r>
        <w:rPr>
          <w:color w:val="231F20"/>
          <w:spacing w:val="1"/>
        </w:rPr>
        <w:t> </w:t>
      </w:r>
      <w:r>
        <w:rPr>
          <w:color w:val="231F20"/>
        </w:rPr>
        <w:t>selected,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total</w:t>
      </w:r>
      <w:r>
        <w:rPr>
          <w:color w:val="231F20"/>
          <w:spacing w:val="1"/>
        </w:rPr>
        <w:t> </w:t>
      </w:r>
      <w:r>
        <w:rPr>
          <w:color w:val="231F20"/>
        </w:rPr>
        <w:t>Kjeldahl</w:t>
      </w:r>
      <w:r>
        <w:rPr>
          <w:color w:val="231F20"/>
          <w:spacing w:val="1"/>
        </w:rPr>
        <w:t> </w:t>
      </w:r>
      <w:r>
        <w:rPr>
          <w:color w:val="231F20"/>
        </w:rPr>
        <w:t>nitrogen</w:t>
      </w:r>
      <w:r>
        <w:rPr>
          <w:color w:val="231F20"/>
          <w:spacing w:val="45"/>
        </w:rPr>
        <w:t> </w:t>
      </w:r>
      <w:r>
        <w:rPr>
          <w:color w:val="231F20"/>
        </w:rPr>
        <w:t>for</w:t>
      </w:r>
      <w:r>
        <w:rPr>
          <w:color w:val="231F20"/>
          <w:spacing w:val="45"/>
        </w:rPr>
        <w:t> </w:t>
      </w:r>
      <w:r>
        <w:rPr>
          <w:color w:val="231F20"/>
        </w:rPr>
        <w:t>each</w:t>
      </w:r>
      <w:r>
        <w:rPr>
          <w:color w:val="231F20"/>
          <w:spacing w:val="45"/>
        </w:rPr>
        <w:t> </w:t>
      </w:r>
      <w:r>
        <w:rPr>
          <w:color w:val="231F20"/>
        </w:rPr>
        <w:t>fertilizer</w:t>
      </w:r>
      <w:r>
        <w:rPr>
          <w:color w:val="231F20"/>
          <w:spacing w:val="-42"/>
        </w:rPr>
        <w:t> </w:t>
      </w:r>
      <w:r>
        <w:rPr>
          <w:color w:val="231F20"/>
        </w:rPr>
        <w:t>was measured using two procedures to determine the effect of</w:t>
      </w:r>
      <w:r>
        <w:rPr>
          <w:color w:val="231F20"/>
          <w:spacing w:val="1"/>
        </w:rPr>
        <w:t> </w:t>
      </w:r>
      <w:r>
        <w:rPr>
          <w:color w:val="231F20"/>
        </w:rPr>
        <w:t>elimination</w:t>
      </w:r>
      <w:r>
        <w:rPr>
          <w:color w:val="231F20"/>
          <w:spacing w:val="-1"/>
        </w:rPr>
        <w:t> </w:t>
      </w:r>
      <w:r>
        <w:rPr>
          <w:color w:val="231F20"/>
        </w:rPr>
        <w:t>of the copper sulfate</w:t>
      </w:r>
      <w:r>
        <w:rPr>
          <w:color w:val="231F20"/>
          <w:spacing w:val="-1"/>
        </w:rPr>
        <w:t> </w:t>
      </w:r>
      <w:r>
        <w:rPr>
          <w:color w:val="231F20"/>
        </w:rPr>
        <w:t>catalyst: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3" w:after="0"/>
        <w:ind w:left="596" w:right="0" w:hanging="297"/>
        <w:jc w:val="both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procedure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outlined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AOAC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Method</w:t>
      </w:r>
      <w:r>
        <w:rPr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978.02</w:t>
      </w:r>
      <w:r>
        <w:rPr>
          <w:b/>
          <w:color w:val="231F20"/>
          <w:spacing w:val="13"/>
          <w:sz w:val="18"/>
        </w:rPr>
        <w:t> </w:t>
      </w:r>
      <w:r>
        <w:rPr>
          <w:color w:val="231F20"/>
          <w:sz w:val="18"/>
        </w:rPr>
        <w:t>(16th</w:t>
      </w:r>
    </w:p>
    <w:p>
      <w:pPr>
        <w:pStyle w:val="BodyText"/>
        <w:spacing w:before="17"/>
        <w:ind w:left="120"/>
        <w:jc w:val="both"/>
      </w:pPr>
      <w:r>
        <w:rPr>
          <w:color w:val="231F20"/>
        </w:rPr>
        <w:t>Ed.)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followed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principle</w:t>
      </w:r>
      <w:r>
        <w:rPr>
          <w:color w:val="231F20"/>
          <w:spacing w:val="32"/>
        </w:rPr>
        <w:t> </w:t>
      </w:r>
      <w:r>
        <w:rPr>
          <w:color w:val="231F20"/>
        </w:rPr>
        <w:t>(with</w:t>
      </w:r>
      <w:r>
        <w:rPr>
          <w:color w:val="231F20"/>
          <w:spacing w:val="32"/>
        </w:rPr>
        <w:t> </w:t>
      </w:r>
      <w:r>
        <w:rPr>
          <w:color w:val="231F20"/>
        </w:rPr>
        <w:t>modifications</w:t>
      </w:r>
      <w:r>
        <w:rPr>
          <w:color w:val="231F20"/>
          <w:spacing w:val="32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scaling</w:t>
      </w:r>
    </w:p>
    <w:p>
      <w:pPr>
        <w:spacing w:after="0"/>
        <w:jc w:val="both"/>
        <w:sectPr>
          <w:type w:val="continuous"/>
          <w:pgSz w:w="11880" w:h="15840"/>
          <w:pgMar w:top="700" w:bottom="280" w:left="840" w:right="840"/>
          <w:cols w:num="2" w:equalWidth="0">
            <w:col w:w="4721" w:space="198"/>
            <w:col w:w="5281"/>
          </w:cols>
        </w:sectPr>
      </w:pPr>
    </w:p>
    <w:p>
      <w:pPr>
        <w:spacing w:before="72"/>
        <w:ind w:left="4004" w:right="0" w:firstLine="0"/>
        <w:jc w:val="left"/>
        <w:rPr>
          <w:b/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z w:val="15"/>
        </w:rPr>
        <w:t>BRAMS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ET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AL</w:t>
      </w:r>
      <w:r>
        <w:rPr>
          <w:color w:val="231F20"/>
          <w:sz w:val="20"/>
        </w:rPr>
        <w:t>.: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18"/>
        </w:rPr>
        <w:t>J</w:t>
      </w:r>
      <w:r>
        <w:rPr>
          <w:color w:val="231F20"/>
          <w:sz w:val="15"/>
        </w:rPr>
        <w:t>OURNAL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8"/>
        </w:rPr>
        <w:t>AOAC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z w:val="15"/>
        </w:rPr>
        <w:t>NTERNATIONAL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8"/>
        </w:rPr>
        <w:t>V</w:t>
      </w:r>
      <w:r>
        <w:rPr>
          <w:color w:val="231F20"/>
          <w:sz w:val="15"/>
        </w:rPr>
        <w:t>OL</w:t>
      </w:r>
      <w:r>
        <w:rPr>
          <w:color w:val="231F20"/>
          <w:sz w:val="20"/>
        </w:rPr>
        <w:t>.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18"/>
        </w:rPr>
        <w:t>97,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</w:t>
      </w:r>
      <w:r>
        <w:rPr>
          <w:color w:val="231F20"/>
          <w:sz w:val="15"/>
        </w:rPr>
        <w:t>O</w:t>
      </w:r>
      <w:r>
        <w:rPr>
          <w:color w:val="231F20"/>
          <w:sz w:val="18"/>
        </w:rPr>
        <w:t>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3,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2014</w:t>
      </w:r>
      <w:r>
        <w:rPr>
          <w:color w:val="231F20"/>
          <w:spacing w:val="82"/>
          <w:sz w:val="18"/>
        </w:rPr>
        <w:t> </w:t>
      </w:r>
      <w:r>
        <w:rPr>
          <w:b/>
          <w:color w:val="231F20"/>
          <w:sz w:val="18"/>
        </w:rPr>
        <w:t>765</w:t>
      </w:r>
    </w:p>
    <w:p>
      <w:pPr>
        <w:pStyle w:val="BodyText"/>
        <w:spacing w:before="8"/>
        <w:rPr>
          <w:b/>
          <w:sz w:val="20"/>
        </w:rPr>
      </w:pPr>
    </w:p>
    <w:p>
      <w:pPr>
        <w:spacing w:after="0"/>
        <w:rPr>
          <w:sz w:val="20"/>
        </w:rPr>
        <w:sectPr>
          <w:pgSz w:w="11880" w:h="15840"/>
          <w:pgMar w:top="700" w:bottom="280" w:left="840" w:right="840"/>
        </w:sectPr>
      </w:pPr>
    </w:p>
    <w:p>
      <w:pPr>
        <w:spacing w:before="95"/>
        <w:ind w:left="6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Table</w:t>
      </w:r>
      <w:r>
        <w:rPr>
          <w:rFonts w:ascii="Arial"/>
          <w:b/>
          <w:color w:val="231F20"/>
          <w:spacing w:val="30"/>
          <w:sz w:val="16"/>
        </w:rPr>
        <w:t> </w:t>
      </w:r>
      <w:r>
        <w:rPr>
          <w:rFonts w:ascii="Arial"/>
          <w:b/>
          <w:color w:val="231F20"/>
          <w:sz w:val="16"/>
        </w:rPr>
        <w:t>1.</w:t>
      </w:r>
      <w:r>
        <w:rPr>
          <w:rFonts w:ascii="Arial"/>
          <w:b/>
          <w:color w:val="231F20"/>
          <w:spacing w:val="62"/>
          <w:sz w:val="16"/>
        </w:rPr>
        <w:t> </w:t>
      </w:r>
      <w:r>
        <w:rPr>
          <w:rFonts w:ascii="Arial"/>
          <w:b/>
          <w:color w:val="231F20"/>
          <w:sz w:val="16"/>
        </w:rPr>
        <w:t>Summarized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total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Kjeldahl</w:t>
      </w:r>
      <w:r>
        <w:rPr>
          <w:rFonts w:ascii="Arial"/>
          <w:b/>
          <w:color w:val="231F20"/>
          <w:spacing w:val="-4"/>
          <w:sz w:val="16"/>
        </w:rPr>
        <w:t> </w:t>
      </w:r>
      <w:r>
        <w:rPr>
          <w:rFonts w:ascii="Arial"/>
          <w:b/>
          <w:color w:val="231F20"/>
          <w:sz w:val="16"/>
        </w:rPr>
        <w:t>nitrogen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measurements</w:t>
      </w:r>
      <w:r>
        <w:rPr>
          <w:rFonts w:ascii="Arial"/>
          <w:b/>
          <w:color w:val="231F20"/>
          <w:spacing w:val="-4"/>
          <w:sz w:val="16"/>
        </w:rPr>
        <w:t> </w:t>
      </w:r>
      <w:r>
        <w:rPr>
          <w:rFonts w:ascii="Arial"/>
          <w:b/>
          <w:color w:val="231F20"/>
          <w:sz w:val="16"/>
        </w:rPr>
        <w:t>by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the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digestion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method</w:t>
      </w:r>
    </w:p>
    <w:p>
      <w:pPr>
        <w:spacing w:before="136"/>
        <w:ind w:left="0" w:right="351" w:firstLine="0"/>
        <w:jc w:val="right"/>
        <w:rPr>
          <w:rFonts w:ascii="Arial MT"/>
          <w:sz w:val="14"/>
        </w:rPr>
      </w:pPr>
      <w:r>
        <w:rPr/>
        <w:pict>
          <v:line style="position:absolute;mso-position-horizontal-relative:page;mso-position-vertical-relative:paragraph;z-index:15732224" from="72pt,4.769719pt" to="546pt,4.769719pt" stroked="true" strokeweight="1pt" strokecolor="#231f20">
            <v:stroke dashstyle="solid"/>
            <w10:wrap type="none"/>
          </v:line>
        </w:pict>
      </w:r>
      <w:r>
        <w:rPr>
          <w:rFonts w:ascii="Arial MT"/>
          <w:color w:val="231F20"/>
          <w:sz w:val="14"/>
        </w:rPr>
        <w:t>Cupric</w:t>
      </w:r>
      <w:r>
        <w:rPr>
          <w:rFonts w:ascii="Arial MT"/>
          <w:color w:val="231F20"/>
          <w:spacing w:val="-4"/>
          <w:sz w:val="14"/>
        </w:rPr>
        <w:t> </w:t>
      </w:r>
      <w:r>
        <w:rPr>
          <w:rFonts w:ascii="Arial MT"/>
          <w:color w:val="231F20"/>
          <w:sz w:val="14"/>
        </w:rPr>
        <w:t>sulfate</w:t>
      </w:r>
      <w:r>
        <w:rPr>
          <w:rFonts w:ascii="Arial MT"/>
          <w:color w:val="231F20"/>
          <w:spacing w:val="-2"/>
          <w:sz w:val="14"/>
        </w:rPr>
        <w:t> </w:t>
      </w:r>
      <w:r>
        <w:rPr>
          <w:rFonts w:ascii="Arial MT"/>
          <w:color w:val="231F20"/>
          <w:sz w:val="14"/>
        </w:rPr>
        <w:t>added,</w:t>
      </w:r>
      <w:r>
        <w:rPr>
          <w:rFonts w:ascii="Arial MT"/>
          <w:color w:val="231F20"/>
          <w:spacing w:val="-3"/>
          <w:sz w:val="14"/>
        </w:rPr>
        <w:t> </w:t>
      </w:r>
      <w:r>
        <w:rPr>
          <w:rFonts w:ascii="Arial MT"/>
          <w:color w:val="231F20"/>
          <w:sz w:val="14"/>
        </w:rPr>
        <w:t>0.4</w:t>
      </w:r>
      <w:r>
        <w:rPr>
          <w:rFonts w:ascii="Arial MT"/>
          <w:color w:val="231F20"/>
          <w:spacing w:val="-4"/>
          <w:sz w:val="14"/>
        </w:rPr>
        <w:t> </w:t>
      </w:r>
      <w:r>
        <w:rPr>
          <w:rFonts w:ascii="Arial MT"/>
          <w:color w:val="231F20"/>
          <w:sz w:val="14"/>
        </w:rPr>
        <w:t>g</w:t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spacing w:before="1"/>
        <w:rPr>
          <w:rFonts w:ascii="Arial MT"/>
          <w:sz w:val="20"/>
        </w:rPr>
      </w:pPr>
    </w:p>
    <w:p>
      <w:pPr>
        <w:spacing w:before="0"/>
        <w:ind w:left="600" w:right="0" w:firstLine="0"/>
        <w:jc w:val="left"/>
        <w:rPr>
          <w:rFonts w:ascii="Arial MT"/>
          <w:sz w:val="14"/>
        </w:rPr>
      </w:pPr>
      <w:r>
        <w:rPr>
          <w:rFonts w:ascii="Arial MT"/>
          <w:color w:val="231F20"/>
          <w:sz w:val="14"/>
        </w:rPr>
        <w:t>Range</w:t>
      </w:r>
      <w:r>
        <w:rPr>
          <w:rFonts w:ascii="Arial MT"/>
          <w:color w:val="231F20"/>
          <w:spacing w:val="-4"/>
          <w:sz w:val="14"/>
        </w:rPr>
        <w:t> </w:t>
      </w:r>
      <w:r>
        <w:rPr>
          <w:rFonts w:ascii="Arial MT"/>
          <w:color w:val="231F20"/>
          <w:sz w:val="14"/>
        </w:rPr>
        <w:t>of</w:t>
      </w:r>
      <w:r>
        <w:rPr>
          <w:rFonts w:ascii="Arial MT"/>
          <w:color w:val="231F20"/>
          <w:spacing w:val="-4"/>
          <w:sz w:val="14"/>
        </w:rPr>
        <w:t> </w:t>
      </w:r>
      <w:r>
        <w:rPr>
          <w:rFonts w:ascii="Arial MT"/>
          <w:color w:val="231F20"/>
          <w:sz w:val="14"/>
        </w:rPr>
        <w:t>bias</w:t>
      </w:r>
    </w:p>
    <w:p>
      <w:pPr>
        <w:spacing w:after="0"/>
        <w:jc w:val="left"/>
        <w:rPr>
          <w:rFonts w:ascii="Arial MT"/>
          <w:sz w:val="14"/>
        </w:rPr>
        <w:sectPr>
          <w:type w:val="continuous"/>
          <w:pgSz w:w="11880" w:h="15840"/>
          <w:pgMar w:top="700" w:bottom="280" w:left="840" w:right="840"/>
          <w:cols w:num="2" w:equalWidth="0">
            <w:col w:w="7172" w:space="928"/>
            <w:col w:w="2100"/>
          </w:cols>
        </w:sectPr>
      </w:pPr>
    </w:p>
    <w:p>
      <w:pPr>
        <w:pStyle w:val="BodyText"/>
        <w:spacing w:before="4"/>
        <w:rPr>
          <w:rFonts w:ascii="Arial MT"/>
          <w:sz w:val="8"/>
        </w:rPr>
      </w:pPr>
    </w:p>
    <w:tbl>
      <w:tblPr>
        <w:tblW w:w="0" w:type="auto"/>
        <w:jc w:val="left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9"/>
        <w:gridCol w:w="1390"/>
        <w:gridCol w:w="1281"/>
        <w:gridCol w:w="1349"/>
        <w:gridCol w:w="889"/>
        <w:gridCol w:w="973"/>
        <w:gridCol w:w="925"/>
      </w:tblGrid>
      <w:tr>
        <w:trPr>
          <w:trHeight w:val="291" w:hRule="atLeast"/>
        </w:trPr>
        <w:tc>
          <w:tcPr>
            <w:tcW w:w="267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color w:val="231F20"/>
                <w:sz w:val="14"/>
              </w:rPr>
              <w:t>Compound</w:t>
            </w:r>
          </w:p>
        </w:tc>
        <w:tc>
          <w:tcPr>
            <w:tcW w:w="139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40"/>
              <w:ind w:right="19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Formulation</w:t>
            </w:r>
          </w:p>
        </w:tc>
        <w:tc>
          <w:tcPr>
            <w:tcW w:w="128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40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Yes</w:t>
            </w:r>
          </w:p>
        </w:tc>
        <w:tc>
          <w:tcPr>
            <w:tcW w:w="134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40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No</w:t>
            </w:r>
          </w:p>
        </w:tc>
        <w:tc>
          <w:tcPr>
            <w:tcW w:w="88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40"/>
              <w:ind w:left="200" w:right="205"/>
              <w:jc w:val="center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231F20"/>
                <w:sz w:val="14"/>
              </w:rPr>
              <w:t>n</w:t>
            </w:r>
            <w:r>
              <w:rPr>
                <w:rFonts w:ascii="Arial"/>
                <w:i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z w:val="14"/>
              </w:rPr>
              <w:t>(x)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a</w:t>
            </w:r>
          </w:p>
        </w:tc>
        <w:tc>
          <w:tcPr>
            <w:tcW w:w="97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40"/>
              <w:ind w:left="297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Yes</w:t>
            </w:r>
          </w:p>
        </w:tc>
        <w:tc>
          <w:tcPr>
            <w:tcW w:w="92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40"/>
              <w:ind w:left="272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No</w:t>
            </w:r>
          </w:p>
        </w:tc>
      </w:tr>
      <w:tr>
        <w:trPr>
          <w:trHeight w:val="238" w:hRule="atLeast"/>
        </w:trPr>
        <w:tc>
          <w:tcPr>
            <w:tcW w:w="267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40"/>
              <w:ind w:left="-1"/>
              <w:rPr>
                <w:rFonts w:ascii="Arial"/>
                <w:i/>
                <w:sz w:val="14"/>
              </w:rPr>
            </w:pPr>
            <w:r>
              <w:rPr>
                <w:color w:val="231F20"/>
                <w:sz w:val="14"/>
              </w:rPr>
              <w:t>Ammonium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z w:val="14"/>
              </w:rPr>
              <w:t>sulfate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b</w:t>
            </w:r>
          </w:p>
        </w:tc>
        <w:tc>
          <w:tcPr>
            <w:tcW w:w="139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40"/>
              <w:ind w:right="25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21.18%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N</w:t>
            </w:r>
          </w:p>
        </w:tc>
        <w:tc>
          <w:tcPr>
            <w:tcW w:w="128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40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21.15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0.05</w:t>
            </w:r>
          </w:p>
        </w:tc>
        <w:tc>
          <w:tcPr>
            <w:tcW w:w="134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40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21.12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0.08</w:t>
            </w:r>
          </w:p>
        </w:tc>
        <w:tc>
          <w:tcPr>
            <w:tcW w:w="88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40"/>
              <w:ind w:left="201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(38)</w:t>
            </w:r>
          </w:p>
        </w:tc>
        <w:tc>
          <w:tcPr>
            <w:tcW w:w="9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40"/>
              <w:ind w:left="298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0.039</w:t>
            </w:r>
          </w:p>
        </w:tc>
        <w:tc>
          <w:tcPr>
            <w:tcW w:w="92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40"/>
              <w:ind w:left="272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0.053</w:t>
            </w:r>
          </w:p>
        </w:tc>
      </w:tr>
      <w:tr>
        <w:trPr>
          <w:trHeight w:val="270" w:hRule="atLeast"/>
        </w:trPr>
        <w:tc>
          <w:tcPr>
            <w:tcW w:w="2679" w:type="dxa"/>
          </w:tcPr>
          <w:p>
            <w:pPr>
              <w:pStyle w:val="TableParagraph"/>
              <w:spacing w:before="64"/>
              <w:ind w:left="-1"/>
              <w:rPr>
                <w:rFonts w:ascii="Arial"/>
                <w:i/>
                <w:sz w:val="14"/>
              </w:rPr>
            </w:pPr>
            <w:r>
              <w:rPr>
                <w:color w:val="231F20"/>
                <w:sz w:val="14"/>
              </w:rPr>
              <w:t>TRISERT-K+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c</w:t>
            </w:r>
          </w:p>
        </w:tc>
        <w:tc>
          <w:tcPr>
            <w:tcW w:w="1390" w:type="dxa"/>
          </w:tcPr>
          <w:p>
            <w:pPr>
              <w:pStyle w:val="TableParagraph"/>
              <w:spacing w:before="64"/>
              <w:ind w:right="21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5-0-20-13S</w:t>
            </w:r>
          </w:p>
        </w:tc>
        <w:tc>
          <w:tcPr>
            <w:tcW w:w="1281" w:type="dxa"/>
          </w:tcPr>
          <w:p>
            <w:pPr>
              <w:pStyle w:val="TableParagraph"/>
              <w:spacing w:before="64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5.22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0.16</w:t>
            </w:r>
          </w:p>
        </w:tc>
        <w:tc>
          <w:tcPr>
            <w:tcW w:w="1349" w:type="dxa"/>
          </w:tcPr>
          <w:p>
            <w:pPr>
              <w:pStyle w:val="TableParagraph"/>
              <w:spacing w:before="64"/>
              <w:ind w:left="250" w:right="28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5.21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0.17</w:t>
            </w:r>
          </w:p>
        </w:tc>
        <w:tc>
          <w:tcPr>
            <w:tcW w:w="889" w:type="dxa"/>
          </w:tcPr>
          <w:p>
            <w:pPr>
              <w:pStyle w:val="TableParagraph"/>
              <w:spacing w:before="64"/>
              <w:ind w:left="201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(8)</w:t>
            </w:r>
          </w:p>
        </w:tc>
        <w:tc>
          <w:tcPr>
            <w:tcW w:w="973" w:type="dxa"/>
          </w:tcPr>
          <w:p>
            <w:pPr>
              <w:pStyle w:val="TableParagraph"/>
              <w:spacing w:before="64"/>
              <w:ind w:left="298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0.118</w:t>
            </w:r>
          </w:p>
        </w:tc>
        <w:tc>
          <w:tcPr>
            <w:tcW w:w="925" w:type="dxa"/>
          </w:tcPr>
          <w:p>
            <w:pPr>
              <w:pStyle w:val="TableParagraph"/>
              <w:spacing w:before="64"/>
              <w:ind w:left="273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0.128</w:t>
            </w:r>
          </w:p>
        </w:tc>
      </w:tr>
      <w:tr>
        <w:trPr>
          <w:trHeight w:val="279" w:hRule="atLeast"/>
        </w:trPr>
        <w:tc>
          <w:tcPr>
            <w:tcW w:w="2679" w:type="dxa"/>
          </w:tcPr>
          <w:p>
            <w:pPr>
              <w:pStyle w:val="TableParagraph"/>
              <w:spacing w:before="73"/>
              <w:rPr>
                <w:rFonts w:ascii="Arial"/>
                <w:i/>
                <w:sz w:val="14"/>
              </w:rPr>
            </w:pPr>
            <w:r>
              <w:rPr>
                <w:color w:val="231F20"/>
                <w:sz w:val="14"/>
              </w:rPr>
              <w:t>TRISERT-KS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c</w:t>
            </w:r>
          </w:p>
        </w:tc>
        <w:tc>
          <w:tcPr>
            <w:tcW w:w="1390" w:type="dxa"/>
          </w:tcPr>
          <w:p>
            <w:pPr>
              <w:pStyle w:val="TableParagraph"/>
              <w:spacing w:before="73"/>
              <w:ind w:right="21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15-0-12-8S</w:t>
            </w:r>
          </w:p>
        </w:tc>
        <w:tc>
          <w:tcPr>
            <w:tcW w:w="1281" w:type="dxa"/>
          </w:tcPr>
          <w:p>
            <w:pPr>
              <w:pStyle w:val="TableParagraph"/>
              <w:spacing w:before="73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14.91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0.00</w:t>
            </w:r>
          </w:p>
        </w:tc>
        <w:tc>
          <w:tcPr>
            <w:tcW w:w="1349" w:type="dxa"/>
          </w:tcPr>
          <w:p>
            <w:pPr>
              <w:pStyle w:val="TableParagraph"/>
              <w:spacing w:before="73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14.92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0.01</w:t>
            </w:r>
          </w:p>
        </w:tc>
        <w:tc>
          <w:tcPr>
            <w:tcW w:w="889" w:type="dxa"/>
          </w:tcPr>
          <w:p>
            <w:pPr>
              <w:pStyle w:val="TableParagraph"/>
              <w:spacing w:before="73"/>
              <w:ind w:left="201" w:right="17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(4)</w:t>
            </w:r>
          </w:p>
        </w:tc>
        <w:tc>
          <w:tcPr>
            <w:tcW w:w="973" w:type="dxa"/>
          </w:tcPr>
          <w:p>
            <w:pPr>
              <w:pStyle w:val="TableParagraph"/>
              <w:spacing w:before="73"/>
              <w:ind w:left="297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  <w:tc>
          <w:tcPr>
            <w:tcW w:w="925" w:type="dxa"/>
          </w:tcPr>
          <w:p>
            <w:pPr>
              <w:pStyle w:val="TableParagraph"/>
              <w:spacing w:before="73"/>
              <w:ind w:left="272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0.005</w:t>
            </w:r>
          </w:p>
        </w:tc>
      </w:tr>
      <w:tr>
        <w:trPr>
          <w:trHeight w:val="280" w:hRule="atLeast"/>
        </w:trPr>
        <w:tc>
          <w:tcPr>
            <w:tcW w:w="2679" w:type="dxa"/>
          </w:tcPr>
          <w:p>
            <w:pPr>
              <w:pStyle w:val="TableParagraph"/>
              <w:spacing w:before="73"/>
              <w:ind w:left="-1"/>
              <w:rPr>
                <w:rFonts w:ascii="Arial"/>
                <w:i/>
                <w:sz w:val="14"/>
              </w:rPr>
            </w:pPr>
            <w:r>
              <w:rPr>
                <w:color w:val="231F20"/>
                <w:sz w:val="14"/>
              </w:rPr>
              <w:t>N-SURE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c</w:t>
            </w:r>
          </w:p>
        </w:tc>
        <w:tc>
          <w:tcPr>
            <w:tcW w:w="1390" w:type="dxa"/>
          </w:tcPr>
          <w:p>
            <w:pPr>
              <w:pStyle w:val="TableParagraph"/>
              <w:spacing w:before="73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28-0-0</w:t>
            </w:r>
          </w:p>
        </w:tc>
        <w:tc>
          <w:tcPr>
            <w:tcW w:w="1281" w:type="dxa"/>
          </w:tcPr>
          <w:p>
            <w:pPr>
              <w:pStyle w:val="TableParagraph"/>
              <w:spacing w:before="73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28.02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0.15</w:t>
            </w:r>
          </w:p>
        </w:tc>
        <w:tc>
          <w:tcPr>
            <w:tcW w:w="1349" w:type="dxa"/>
          </w:tcPr>
          <w:p>
            <w:pPr>
              <w:pStyle w:val="TableParagraph"/>
              <w:spacing w:before="73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28.03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0.15</w:t>
            </w:r>
          </w:p>
        </w:tc>
        <w:tc>
          <w:tcPr>
            <w:tcW w:w="889" w:type="dxa"/>
          </w:tcPr>
          <w:p>
            <w:pPr>
              <w:pStyle w:val="TableParagraph"/>
              <w:spacing w:before="73"/>
              <w:ind w:left="201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20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(38)</w:t>
            </w:r>
          </w:p>
        </w:tc>
        <w:tc>
          <w:tcPr>
            <w:tcW w:w="973" w:type="dxa"/>
          </w:tcPr>
          <w:p>
            <w:pPr>
              <w:pStyle w:val="TableParagraph"/>
              <w:spacing w:before="73"/>
              <w:ind w:left="298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0.113</w:t>
            </w:r>
          </w:p>
        </w:tc>
        <w:tc>
          <w:tcPr>
            <w:tcW w:w="925" w:type="dxa"/>
          </w:tcPr>
          <w:p>
            <w:pPr>
              <w:pStyle w:val="TableParagraph"/>
              <w:spacing w:before="73"/>
              <w:ind w:left="273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0.115</w:t>
            </w:r>
          </w:p>
        </w:tc>
      </w:tr>
      <w:tr>
        <w:trPr>
          <w:trHeight w:val="280" w:hRule="atLeast"/>
        </w:trPr>
        <w:tc>
          <w:tcPr>
            <w:tcW w:w="2679" w:type="dxa"/>
          </w:tcPr>
          <w:p>
            <w:pPr>
              <w:pStyle w:val="TableParagraph"/>
              <w:spacing w:before="73"/>
              <w:rPr>
                <w:rFonts w:ascii="Arial"/>
                <w:i/>
                <w:sz w:val="14"/>
              </w:rPr>
            </w:pPr>
            <w:r>
              <w:rPr>
                <w:color w:val="231F20"/>
                <w:sz w:val="14"/>
              </w:rPr>
              <w:t>TRISERT-N+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c</w:t>
            </w:r>
          </w:p>
        </w:tc>
        <w:tc>
          <w:tcPr>
            <w:tcW w:w="1390" w:type="dxa"/>
          </w:tcPr>
          <w:p>
            <w:pPr>
              <w:pStyle w:val="TableParagraph"/>
              <w:spacing w:before="73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26-0-0</w:t>
            </w:r>
          </w:p>
        </w:tc>
        <w:tc>
          <w:tcPr>
            <w:tcW w:w="1281" w:type="dxa"/>
          </w:tcPr>
          <w:p>
            <w:pPr>
              <w:pStyle w:val="TableParagraph"/>
              <w:spacing w:before="73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29.93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0.33</w:t>
            </w:r>
          </w:p>
        </w:tc>
        <w:tc>
          <w:tcPr>
            <w:tcW w:w="1349" w:type="dxa"/>
          </w:tcPr>
          <w:p>
            <w:pPr>
              <w:pStyle w:val="TableParagraph"/>
              <w:spacing w:before="73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29.94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0.25</w:t>
            </w:r>
          </w:p>
        </w:tc>
        <w:tc>
          <w:tcPr>
            <w:tcW w:w="889" w:type="dxa"/>
          </w:tcPr>
          <w:p>
            <w:pPr>
              <w:pStyle w:val="TableParagraph"/>
              <w:spacing w:before="73"/>
              <w:ind w:left="201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(4)</w:t>
            </w:r>
          </w:p>
        </w:tc>
        <w:tc>
          <w:tcPr>
            <w:tcW w:w="973" w:type="dxa"/>
          </w:tcPr>
          <w:p>
            <w:pPr>
              <w:pStyle w:val="TableParagraph"/>
              <w:spacing w:before="73"/>
              <w:ind w:left="297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0.235</w:t>
            </w:r>
          </w:p>
        </w:tc>
        <w:tc>
          <w:tcPr>
            <w:tcW w:w="925" w:type="dxa"/>
          </w:tcPr>
          <w:p>
            <w:pPr>
              <w:pStyle w:val="TableParagraph"/>
              <w:spacing w:before="73"/>
              <w:ind w:left="272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0.180</w:t>
            </w:r>
          </w:p>
        </w:tc>
      </w:tr>
      <w:tr>
        <w:trPr>
          <w:trHeight w:val="280" w:hRule="atLeast"/>
        </w:trPr>
        <w:tc>
          <w:tcPr>
            <w:tcW w:w="2679" w:type="dxa"/>
          </w:tcPr>
          <w:p>
            <w:pPr>
              <w:pStyle w:val="TableParagraph"/>
              <w:spacing w:before="73"/>
              <w:ind w:left="-1"/>
              <w:rPr>
                <w:rFonts w:ascii="Arial"/>
                <w:i/>
                <w:sz w:val="14"/>
              </w:rPr>
            </w:pPr>
            <w:r>
              <w:rPr>
                <w:color w:val="231F20"/>
                <w:sz w:val="14"/>
              </w:rPr>
              <w:t>TRISERT-CB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c</w:t>
            </w:r>
          </w:p>
        </w:tc>
        <w:tc>
          <w:tcPr>
            <w:tcW w:w="1390" w:type="dxa"/>
          </w:tcPr>
          <w:p>
            <w:pPr>
              <w:pStyle w:val="TableParagraph"/>
              <w:spacing w:before="73"/>
              <w:ind w:right="25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26-0-0-5B</w:t>
            </w:r>
          </w:p>
        </w:tc>
        <w:tc>
          <w:tcPr>
            <w:tcW w:w="1281" w:type="dxa"/>
          </w:tcPr>
          <w:p>
            <w:pPr>
              <w:pStyle w:val="TableParagraph"/>
              <w:spacing w:before="73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25.86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0.04</w:t>
            </w:r>
          </w:p>
        </w:tc>
        <w:tc>
          <w:tcPr>
            <w:tcW w:w="1349" w:type="dxa"/>
          </w:tcPr>
          <w:p>
            <w:pPr>
              <w:pStyle w:val="TableParagraph"/>
              <w:spacing w:before="73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25.90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0.08</w:t>
            </w:r>
          </w:p>
        </w:tc>
        <w:tc>
          <w:tcPr>
            <w:tcW w:w="889" w:type="dxa"/>
          </w:tcPr>
          <w:p>
            <w:pPr>
              <w:pStyle w:val="TableParagraph"/>
              <w:spacing w:before="73"/>
              <w:ind w:left="201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(4)</w:t>
            </w:r>
          </w:p>
        </w:tc>
        <w:tc>
          <w:tcPr>
            <w:tcW w:w="973" w:type="dxa"/>
          </w:tcPr>
          <w:p>
            <w:pPr>
              <w:pStyle w:val="TableParagraph"/>
              <w:spacing w:before="73"/>
              <w:ind w:left="297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0.025</w:t>
            </w:r>
          </w:p>
        </w:tc>
        <w:tc>
          <w:tcPr>
            <w:tcW w:w="925" w:type="dxa"/>
          </w:tcPr>
          <w:p>
            <w:pPr>
              <w:pStyle w:val="TableParagraph"/>
              <w:spacing w:before="73"/>
              <w:ind w:left="272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0.055</w:t>
            </w:r>
          </w:p>
        </w:tc>
      </w:tr>
      <w:tr>
        <w:trPr>
          <w:trHeight w:val="280" w:hRule="atLeast"/>
        </w:trPr>
        <w:tc>
          <w:tcPr>
            <w:tcW w:w="2679" w:type="dxa"/>
          </w:tcPr>
          <w:p>
            <w:pPr>
              <w:pStyle w:val="TableParagraph"/>
              <w:spacing w:before="73"/>
              <w:ind w:left="-1"/>
              <w:rPr>
                <w:rFonts w:ascii="Arial"/>
                <w:i/>
                <w:sz w:val="14"/>
              </w:rPr>
            </w:pPr>
            <w:r>
              <w:rPr>
                <w:color w:val="231F20"/>
                <w:sz w:val="14"/>
              </w:rPr>
              <w:t>TRISERT-NB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c</w:t>
            </w:r>
          </w:p>
        </w:tc>
        <w:tc>
          <w:tcPr>
            <w:tcW w:w="1390" w:type="dxa"/>
          </w:tcPr>
          <w:p>
            <w:pPr>
              <w:pStyle w:val="TableParagraph"/>
              <w:spacing w:before="73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26-0-0</w:t>
            </w:r>
          </w:p>
        </w:tc>
        <w:tc>
          <w:tcPr>
            <w:tcW w:w="1281" w:type="dxa"/>
          </w:tcPr>
          <w:p>
            <w:pPr>
              <w:pStyle w:val="TableParagraph"/>
              <w:spacing w:before="73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26.11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0.16</w:t>
            </w:r>
          </w:p>
        </w:tc>
        <w:tc>
          <w:tcPr>
            <w:tcW w:w="1349" w:type="dxa"/>
          </w:tcPr>
          <w:p>
            <w:pPr>
              <w:pStyle w:val="TableParagraph"/>
              <w:spacing w:before="73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26.10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0.19</w:t>
            </w:r>
          </w:p>
        </w:tc>
        <w:tc>
          <w:tcPr>
            <w:tcW w:w="889" w:type="dxa"/>
          </w:tcPr>
          <w:p>
            <w:pPr>
              <w:pStyle w:val="TableParagraph"/>
              <w:spacing w:before="73"/>
              <w:ind w:left="201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20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(38)</w:t>
            </w:r>
          </w:p>
        </w:tc>
        <w:tc>
          <w:tcPr>
            <w:tcW w:w="973" w:type="dxa"/>
          </w:tcPr>
          <w:p>
            <w:pPr>
              <w:pStyle w:val="TableParagraph"/>
              <w:spacing w:before="73"/>
              <w:ind w:left="298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0.133</w:t>
            </w:r>
          </w:p>
        </w:tc>
        <w:tc>
          <w:tcPr>
            <w:tcW w:w="925" w:type="dxa"/>
          </w:tcPr>
          <w:p>
            <w:pPr>
              <w:pStyle w:val="TableParagraph"/>
              <w:spacing w:before="73"/>
              <w:ind w:left="273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0.143</w:t>
            </w:r>
          </w:p>
        </w:tc>
      </w:tr>
      <w:tr>
        <w:trPr>
          <w:trHeight w:val="280" w:hRule="atLeast"/>
        </w:trPr>
        <w:tc>
          <w:tcPr>
            <w:tcW w:w="2679" w:type="dxa"/>
          </w:tcPr>
          <w:p>
            <w:pPr>
              <w:pStyle w:val="TableParagraph"/>
              <w:spacing w:before="73"/>
              <w:rPr>
                <w:rFonts w:ascii="Arial"/>
                <w:i/>
                <w:sz w:val="14"/>
              </w:rPr>
            </w:pPr>
            <w:r>
              <w:rPr>
                <w:color w:val="231F20"/>
                <w:sz w:val="14"/>
              </w:rPr>
              <w:t>FORMOLENE-PLUS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c</w:t>
            </w:r>
          </w:p>
        </w:tc>
        <w:tc>
          <w:tcPr>
            <w:tcW w:w="1390" w:type="dxa"/>
          </w:tcPr>
          <w:p>
            <w:pPr>
              <w:pStyle w:val="TableParagraph"/>
              <w:spacing w:before="73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30-0-0</w:t>
            </w:r>
          </w:p>
        </w:tc>
        <w:tc>
          <w:tcPr>
            <w:tcW w:w="1281" w:type="dxa"/>
          </w:tcPr>
          <w:p>
            <w:pPr>
              <w:pStyle w:val="TableParagraph"/>
              <w:spacing w:before="73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30.00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0.08</w:t>
            </w:r>
          </w:p>
        </w:tc>
        <w:tc>
          <w:tcPr>
            <w:tcW w:w="1349" w:type="dxa"/>
          </w:tcPr>
          <w:p>
            <w:pPr>
              <w:pStyle w:val="TableParagraph"/>
              <w:spacing w:before="73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29.97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0.14</w:t>
            </w:r>
          </w:p>
        </w:tc>
        <w:tc>
          <w:tcPr>
            <w:tcW w:w="889" w:type="dxa"/>
          </w:tcPr>
          <w:p>
            <w:pPr>
              <w:pStyle w:val="TableParagraph"/>
              <w:spacing w:before="73"/>
              <w:ind w:left="201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8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(10)</w:t>
            </w:r>
          </w:p>
        </w:tc>
        <w:tc>
          <w:tcPr>
            <w:tcW w:w="973" w:type="dxa"/>
          </w:tcPr>
          <w:p>
            <w:pPr>
              <w:pStyle w:val="TableParagraph"/>
              <w:spacing w:before="73"/>
              <w:ind w:left="297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0.058</w:t>
            </w:r>
          </w:p>
        </w:tc>
        <w:tc>
          <w:tcPr>
            <w:tcW w:w="925" w:type="dxa"/>
          </w:tcPr>
          <w:p>
            <w:pPr>
              <w:pStyle w:val="TableParagraph"/>
              <w:spacing w:before="73"/>
              <w:ind w:left="272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0.120</w:t>
            </w:r>
          </w:p>
        </w:tc>
      </w:tr>
      <w:tr>
        <w:trPr>
          <w:trHeight w:val="280" w:hRule="atLeast"/>
        </w:trPr>
        <w:tc>
          <w:tcPr>
            <w:tcW w:w="2679" w:type="dxa"/>
          </w:tcPr>
          <w:p>
            <w:pPr>
              <w:pStyle w:val="TableParagraph"/>
              <w:spacing w:before="73"/>
              <w:ind w:left="-1"/>
              <w:rPr>
                <w:rFonts w:ascii="Arial"/>
                <w:i/>
                <w:sz w:val="14"/>
              </w:rPr>
            </w:pPr>
            <w:r>
              <w:rPr>
                <w:color w:val="231F20"/>
                <w:sz w:val="14"/>
              </w:rPr>
              <w:t>CR-9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c</w:t>
            </w:r>
          </w:p>
        </w:tc>
        <w:tc>
          <w:tcPr>
            <w:tcW w:w="1390" w:type="dxa"/>
          </w:tcPr>
          <w:p>
            <w:pPr>
              <w:pStyle w:val="TableParagraph"/>
              <w:spacing w:before="73"/>
              <w:ind w:right="302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29.5-0-0</w:t>
            </w:r>
          </w:p>
        </w:tc>
        <w:tc>
          <w:tcPr>
            <w:tcW w:w="1281" w:type="dxa"/>
          </w:tcPr>
          <w:p>
            <w:pPr>
              <w:pStyle w:val="TableParagraph"/>
              <w:spacing w:before="73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29.37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0.00</w:t>
            </w:r>
          </w:p>
        </w:tc>
        <w:tc>
          <w:tcPr>
            <w:tcW w:w="1349" w:type="dxa"/>
          </w:tcPr>
          <w:p>
            <w:pPr>
              <w:pStyle w:val="TableParagraph"/>
              <w:spacing w:before="73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29.34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0.00</w:t>
            </w:r>
          </w:p>
        </w:tc>
        <w:tc>
          <w:tcPr>
            <w:tcW w:w="889" w:type="dxa"/>
          </w:tcPr>
          <w:p>
            <w:pPr>
              <w:pStyle w:val="TableParagraph"/>
              <w:spacing w:before="73"/>
              <w:ind w:left="201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(4)</w:t>
            </w:r>
          </w:p>
        </w:tc>
        <w:tc>
          <w:tcPr>
            <w:tcW w:w="973" w:type="dxa"/>
          </w:tcPr>
          <w:p>
            <w:pPr>
              <w:pStyle w:val="TableParagraph"/>
              <w:spacing w:before="73"/>
              <w:ind w:left="297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  <w:tc>
          <w:tcPr>
            <w:tcW w:w="925" w:type="dxa"/>
          </w:tcPr>
          <w:p>
            <w:pPr>
              <w:pStyle w:val="TableParagraph"/>
              <w:spacing w:before="73"/>
              <w:ind w:left="272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</w:tr>
      <w:tr>
        <w:trPr>
          <w:trHeight w:val="280" w:hRule="atLeast"/>
        </w:trPr>
        <w:tc>
          <w:tcPr>
            <w:tcW w:w="2679" w:type="dxa"/>
          </w:tcPr>
          <w:p>
            <w:pPr>
              <w:pStyle w:val="TableParagraph"/>
              <w:spacing w:before="73"/>
              <w:ind w:left="-1"/>
              <w:rPr>
                <w:rFonts w:ascii="Arial"/>
                <w:i/>
                <w:sz w:val="14"/>
              </w:rPr>
            </w:pPr>
            <w:r>
              <w:rPr>
                <w:color w:val="231F20"/>
                <w:sz w:val="14"/>
              </w:rPr>
              <w:t>DAP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z w:val="14"/>
              </w:rPr>
              <w:t>(diammonium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phosphate)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d,e</w:t>
            </w:r>
          </w:p>
        </w:tc>
        <w:tc>
          <w:tcPr>
            <w:tcW w:w="1390" w:type="dxa"/>
          </w:tcPr>
          <w:p>
            <w:pPr>
              <w:pStyle w:val="TableParagraph"/>
              <w:spacing w:before="73"/>
              <w:ind w:left="583"/>
              <w:rPr>
                <w:sz w:val="14"/>
              </w:rPr>
            </w:pPr>
            <w:r>
              <w:rPr>
                <w:color w:val="231F20"/>
                <w:sz w:val="14"/>
              </w:rPr>
              <w:t>18-46-0</w:t>
            </w:r>
          </w:p>
        </w:tc>
        <w:tc>
          <w:tcPr>
            <w:tcW w:w="1281" w:type="dxa"/>
          </w:tcPr>
          <w:p>
            <w:pPr>
              <w:pStyle w:val="TableParagraph"/>
              <w:spacing w:before="73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17.66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0.07</w:t>
            </w:r>
          </w:p>
        </w:tc>
        <w:tc>
          <w:tcPr>
            <w:tcW w:w="1349" w:type="dxa"/>
          </w:tcPr>
          <w:p>
            <w:pPr>
              <w:pStyle w:val="TableParagraph"/>
              <w:spacing w:before="73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17.60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0.07</w:t>
            </w:r>
          </w:p>
        </w:tc>
        <w:tc>
          <w:tcPr>
            <w:tcW w:w="889" w:type="dxa"/>
          </w:tcPr>
          <w:p>
            <w:pPr>
              <w:pStyle w:val="TableParagraph"/>
              <w:spacing w:before="73"/>
              <w:ind w:left="201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12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(24)</w:t>
            </w:r>
          </w:p>
        </w:tc>
        <w:tc>
          <w:tcPr>
            <w:tcW w:w="973" w:type="dxa"/>
          </w:tcPr>
          <w:p>
            <w:pPr>
              <w:pStyle w:val="TableParagraph"/>
              <w:spacing w:before="73"/>
              <w:ind w:left="298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0.055</w:t>
            </w:r>
          </w:p>
        </w:tc>
        <w:tc>
          <w:tcPr>
            <w:tcW w:w="925" w:type="dxa"/>
          </w:tcPr>
          <w:p>
            <w:pPr>
              <w:pStyle w:val="TableParagraph"/>
              <w:spacing w:before="73"/>
              <w:ind w:left="273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0.075</w:t>
            </w:r>
          </w:p>
        </w:tc>
      </w:tr>
      <w:tr>
        <w:trPr>
          <w:trHeight w:val="280" w:hRule="atLeast"/>
        </w:trPr>
        <w:tc>
          <w:tcPr>
            <w:tcW w:w="2679" w:type="dxa"/>
          </w:tcPr>
          <w:p>
            <w:pPr>
              <w:pStyle w:val="TableParagraph"/>
              <w:spacing w:before="73"/>
              <w:rPr>
                <w:rFonts w:ascii="Arial"/>
                <w:i/>
                <w:sz w:val="14"/>
              </w:rPr>
            </w:pPr>
            <w:r>
              <w:rPr>
                <w:color w:val="231F20"/>
                <w:sz w:val="14"/>
              </w:rPr>
              <w:t>MAP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z w:val="14"/>
              </w:rPr>
              <w:t>(monoammonium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phosphate)</w:t>
            </w:r>
            <w:r>
              <w:rPr>
                <w:rFonts w:ascii="Arial"/>
                <w:i/>
                <w:color w:val="231F20"/>
                <w:sz w:val="14"/>
                <w:vertAlign w:val="superscript"/>
              </w:rPr>
              <w:t>d</w:t>
            </w:r>
          </w:p>
        </w:tc>
        <w:tc>
          <w:tcPr>
            <w:tcW w:w="1390" w:type="dxa"/>
          </w:tcPr>
          <w:p>
            <w:pPr>
              <w:pStyle w:val="TableParagraph"/>
              <w:spacing w:before="73"/>
              <w:ind w:left="588"/>
              <w:rPr>
                <w:sz w:val="14"/>
              </w:rPr>
            </w:pPr>
            <w:r>
              <w:rPr>
                <w:color w:val="231F20"/>
                <w:sz w:val="14"/>
              </w:rPr>
              <w:t>11-52-0</w:t>
            </w:r>
          </w:p>
        </w:tc>
        <w:tc>
          <w:tcPr>
            <w:tcW w:w="1281" w:type="dxa"/>
          </w:tcPr>
          <w:p>
            <w:pPr>
              <w:pStyle w:val="TableParagraph"/>
              <w:spacing w:before="73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10.93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0.18</w:t>
            </w:r>
          </w:p>
        </w:tc>
        <w:tc>
          <w:tcPr>
            <w:tcW w:w="1349" w:type="dxa"/>
          </w:tcPr>
          <w:p>
            <w:pPr>
              <w:pStyle w:val="TableParagraph"/>
              <w:spacing w:before="73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10.97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0.33</w:t>
            </w:r>
          </w:p>
        </w:tc>
        <w:tc>
          <w:tcPr>
            <w:tcW w:w="889" w:type="dxa"/>
          </w:tcPr>
          <w:p>
            <w:pPr>
              <w:pStyle w:val="TableParagraph"/>
              <w:spacing w:before="73"/>
              <w:ind w:left="201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(12)</w:t>
            </w:r>
          </w:p>
        </w:tc>
        <w:tc>
          <w:tcPr>
            <w:tcW w:w="973" w:type="dxa"/>
          </w:tcPr>
          <w:p>
            <w:pPr>
              <w:pStyle w:val="TableParagraph"/>
              <w:spacing w:before="73"/>
              <w:ind w:left="297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0.150</w:t>
            </w:r>
          </w:p>
        </w:tc>
        <w:tc>
          <w:tcPr>
            <w:tcW w:w="925" w:type="dxa"/>
          </w:tcPr>
          <w:p>
            <w:pPr>
              <w:pStyle w:val="TableParagraph"/>
              <w:spacing w:before="73"/>
              <w:ind w:left="272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0.235</w:t>
            </w:r>
          </w:p>
        </w:tc>
      </w:tr>
      <w:tr>
        <w:trPr>
          <w:trHeight w:val="324" w:hRule="atLeast"/>
        </w:trPr>
        <w:tc>
          <w:tcPr>
            <w:tcW w:w="267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3"/>
              <w:rPr>
                <w:rFonts w:ascii="Arial" w:hAnsi="Arial"/>
                <w:i/>
                <w:sz w:val="14"/>
              </w:rPr>
            </w:pPr>
            <w:r>
              <w:rPr>
                <w:color w:val="231F20"/>
                <w:sz w:val="14"/>
              </w:rPr>
              <w:t>IBDU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(1,1</w:t>
            </w:r>
            <w:r>
              <w:rPr>
                <w:rFonts w:ascii="Times New Roman" w:hAnsi="Times New Roman"/>
                <w:color w:val="231F20"/>
                <w:sz w:val="14"/>
              </w:rPr>
              <w:t>ʹ</w:t>
            </w:r>
            <w:r>
              <w:rPr>
                <w:color w:val="231F20"/>
                <w:sz w:val="14"/>
              </w:rPr>
              <w:t>-isobutylene diurea)</w:t>
            </w:r>
            <w:r>
              <w:rPr>
                <w:rFonts w:ascii="Arial" w:hAnsi="Arial"/>
                <w:i/>
                <w:color w:val="231F20"/>
                <w:sz w:val="14"/>
                <w:vertAlign w:val="superscript"/>
              </w:rPr>
              <w:t>f</w:t>
            </w:r>
            <w:r>
              <w:rPr>
                <w:color w:val="231F20"/>
                <w:sz w:val="14"/>
                <w:vertAlign w:val="superscript"/>
              </w:rPr>
              <w:t>,</w:t>
            </w:r>
            <w:r>
              <w:rPr>
                <w:rFonts w:ascii="Arial" w:hAnsi="Arial"/>
                <w:i/>
                <w:color w:val="231F20"/>
                <w:sz w:val="14"/>
                <w:vertAlign w:val="superscript"/>
              </w:rPr>
              <w:t>g</w:t>
            </w:r>
          </w:p>
        </w:tc>
        <w:tc>
          <w:tcPr>
            <w:tcW w:w="139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3"/>
              <w:ind w:left="622"/>
              <w:rPr>
                <w:sz w:val="14"/>
              </w:rPr>
            </w:pPr>
            <w:r>
              <w:rPr>
                <w:color w:val="231F20"/>
                <w:sz w:val="14"/>
              </w:rPr>
              <w:t>30-0-0</w:t>
            </w:r>
          </w:p>
        </w:tc>
        <w:tc>
          <w:tcPr>
            <w:tcW w:w="128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3"/>
              <w:ind w:left="217" w:right="25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30.47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0.12</w:t>
            </w:r>
          </w:p>
        </w:tc>
        <w:tc>
          <w:tcPr>
            <w:tcW w:w="134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3"/>
              <w:ind w:left="250" w:right="28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30.56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0.02</w:t>
            </w:r>
          </w:p>
        </w:tc>
        <w:tc>
          <w:tcPr>
            <w:tcW w:w="88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3"/>
              <w:ind w:left="200" w:right="20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(8)</w:t>
            </w:r>
          </w:p>
        </w:tc>
        <w:tc>
          <w:tcPr>
            <w:tcW w:w="9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3"/>
              <w:ind w:left="297" w:right="28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0.085</w:t>
            </w:r>
          </w:p>
        </w:tc>
        <w:tc>
          <w:tcPr>
            <w:tcW w:w="92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73"/>
              <w:ind w:left="272" w:right="2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0.012</w:t>
            </w:r>
          </w:p>
        </w:tc>
      </w:tr>
    </w:tbl>
    <w:p>
      <w:pPr>
        <w:spacing w:before="53"/>
        <w:ind w:left="600" w:right="0" w:firstLine="0"/>
        <w:jc w:val="left"/>
        <w:rPr>
          <w:rFonts w:ascii="Arial MT"/>
          <w:sz w:val="14"/>
        </w:rPr>
      </w:pPr>
      <w:r>
        <w:rPr>
          <w:rFonts w:ascii="Arial"/>
          <w:i/>
          <w:color w:val="231F20"/>
          <w:sz w:val="14"/>
          <w:vertAlign w:val="superscript"/>
        </w:rPr>
        <w:t>a</w:t>
      </w:r>
      <w:r>
        <w:rPr>
          <w:rFonts w:ascii="Arial"/>
          <w:i/>
          <w:color w:val="231F20"/>
          <w:spacing w:val="55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Number</w:t>
      </w:r>
      <w:r>
        <w:rPr>
          <w:rFonts w:ascii="Arial MT"/>
          <w:color w:val="231F20"/>
          <w:spacing w:val="-4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of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materials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with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number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of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replicates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in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parenthesis.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Each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material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was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run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in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duplicate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except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the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ammonium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sulfate.</w:t>
      </w:r>
    </w:p>
    <w:p>
      <w:pPr>
        <w:spacing w:before="101"/>
        <w:ind w:left="600" w:right="0" w:firstLine="0"/>
        <w:jc w:val="left"/>
        <w:rPr>
          <w:rFonts w:ascii="Arial MT"/>
          <w:sz w:val="14"/>
        </w:rPr>
      </w:pPr>
      <w:r>
        <w:rPr>
          <w:rFonts w:ascii="Arial"/>
          <w:i/>
          <w:color w:val="231F20"/>
          <w:sz w:val="14"/>
          <w:vertAlign w:val="superscript"/>
        </w:rPr>
        <w:t>b</w:t>
      </w:r>
      <w:r>
        <w:rPr>
          <w:rFonts w:ascii="Arial"/>
          <w:i/>
          <w:color w:val="231F20"/>
          <w:spacing w:val="47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Aldrich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Chemical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Co.,</w:t>
      </w:r>
      <w:r>
        <w:rPr>
          <w:rFonts w:ascii="Arial MT"/>
          <w:color w:val="231F20"/>
          <w:spacing w:val="-4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Milwaukee,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WI,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Cat.</w:t>
      </w:r>
      <w:r>
        <w:rPr>
          <w:rFonts w:ascii="Arial MT"/>
          <w:color w:val="231F20"/>
          <w:spacing w:val="-4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No.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204501,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MW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=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132.14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g/mole,</w:t>
      </w:r>
      <w:r>
        <w:rPr>
          <w:rFonts w:ascii="Arial MT"/>
          <w:color w:val="231F20"/>
          <w:spacing w:val="-4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purity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99.999%.</w:t>
      </w:r>
    </w:p>
    <w:p>
      <w:pPr>
        <w:spacing w:before="119"/>
        <w:ind w:left="600" w:right="0" w:firstLine="0"/>
        <w:jc w:val="left"/>
        <w:rPr>
          <w:rFonts w:ascii="Arial MT"/>
          <w:sz w:val="14"/>
        </w:rPr>
      </w:pPr>
      <w:r>
        <w:rPr>
          <w:rFonts w:ascii="Arial"/>
          <w:i/>
          <w:color w:val="231F20"/>
          <w:spacing w:val="-1"/>
          <w:sz w:val="14"/>
          <w:vertAlign w:val="superscript"/>
        </w:rPr>
        <w:t>c</w:t>
      </w:r>
      <w:r>
        <w:rPr>
          <w:rFonts w:ascii="Arial"/>
          <w:i/>
          <w:color w:val="231F20"/>
          <w:spacing w:val="58"/>
          <w:sz w:val="14"/>
          <w:vertAlign w:val="baseline"/>
        </w:rPr>
        <w:t> </w:t>
      </w:r>
      <w:r>
        <w:rPr>
          <w:rFonts w:ascii="Arial MT"/>
          <w:color w:val="231F20"/>
          <w:spacing w:val="-1"/>
          <w:sz w:val="14"/>
          <w:vertAlign w:val="baseline"/>
        </w:rPr>
        <w:t>Tessenderlo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pacing w:val="-1"/>
          <w:sz w:val="14"/>
          <w:vertAlign w:val="baseline"/>
        </w:rPr>
        <w:t>Kerley,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Inc.,</w:t>
      </w:r>
      <w:r>
        <w:rPr>
          <w:rFonts w:ascii="Arial MT"/>
          <w:color w:val="231F20"/>
          <w:spacing w:val="-1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Phoenix,</w:t>
      </w:r>
      <w:r>
        <w:rPr>
          <w:rFonts w:ascii="Arial MT"/>
          <w:color w:val="231F20"/>
          <w:spacing w:val="-10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AZ.</w:t>
      </w:r>
    </w:p>
    <w:p>
      <w:pPr>
        <w:spacing w:before="119"/>
        <w:ind w:left="600" w:right="0" w:firstLine="0"/>
        <w:jc w:val="left"/>
        <w:rPr>
          <w:rFonts w:ascii="Arial MT"/>
          <w:sz w:val="14"/>
        </w:rPr>
      </w:pPr>
      <w:r>
        <w:rPr>
          <w:rFonts w:ascii="Arial"/>
          <w:i/>
          <w:color w:val="231F20"/>
          <w:sz w:val="14"/>
          <w:vertAlign w:val="superscript"/>
        </w:rPr>
        <w:t>d</w:t>
      </w:r>
      <w:r>
        <w:rPr>
          <w:rFonts w:ascii="Arial"/>
          <w:i/>
          <w:color w:val="231F20"/>
          <w:spacing w:val="58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CF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Industries,</w:t>
      </w:r>
      <w:r>
        <w:rPr>
          <w:rFonts w:ascii="Arial MT"/>
          <w:color w:val="231F20"/>
          <w:spacing w:val="-1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Plant</w:t>
      </w:r>
      <w:r>
        <w:rPr>
          <w:rFonts w:ascii="Arial MT"/>
          <w:color w:val="231F20"/>
          <w:spacing w:val="-1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City,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FL.</w:t>
      </w:r>
    </w:p>
    <w:p>
      <w:pPr>
        <w:spacing w:before="119"/>
        <w:ind w:left="600" w:right="0" w:firstLine="0"/>
        <w:jc w:val="left"/>
        <w:rPr>
          <w:rFonts w:ascii="Arial MT"/>
          <w:sz w:val="14"/>
        </w:rPr>
      </w:pPr>
      <w:r>
        <w:rPr>
          <w:rFonts w:ascii="Arial"/>
          <w:i/>
          <w:color w:val="231F20"/>
          <w:sz w:val="14"/>
          <w:vertAlign w:val="superscript"/>
        </w:rPr>
        <w:t>e</w:t>
      </w:r>
      <w:r>
        <w:rPr>
          <w:rFonts w:ascii="Arial"/>
          <w:i/>
          <w:color w:val="231F20"/>
          <w:spacing w:val="55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Mosaic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Research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and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Development,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Mosaic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Co.,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Lithia,</w:t>
      </w:r>
      <w:r>
        <w:rPr>
          <w:rFonts w:ascii="Arial MT"/>
          <w:color w:val="231F20"/>
          <w:spacing w:val="-4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FL.</w:t>
      </w:r>
    </w:p>
    <w:p>
      <w:pPr>
        <w:spacing w:before="119"/>
        <w:ind w:left="600" w:right="0" w:firstLine="0"/>
        <w:jc w:val="left"/>
        <w:rPr>
          <w:rFonts w:ascii="Arial MT"/>
          <w:sz w:val="14"/>
        </w:rPr>
      </w:pPr>
      <w:r>
        <w:rPr>
          <w:rFonts w:ascii="Arial"/>
          <w:i/>
          <w:color w:val="231F20"/>
          <w:sz w:val="14"/>
          <w:vertAlign w:val="superscript"/>
        </w:rPr>
        <w:t>f</w:t>
      </w:r>
      <w:r>
        <w:rPr>
          <w:rFonts w:ascii="Arial"/>
          <w:i/>
          <w:color w:val="231F20"/>
          <w:spacing w:val="58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Nu-Gro,</w:t>
      </w:r>
      <w:r>
        <w:rPr>
          <w:rFonts w:ascii="Arial MT"/>
          <w:color w:val="231F20"/>
          <w:spacing w:val="-3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Grand</w:t>
      </w:r>
      <w:r>
        <w:rPr>
          <w:rFonts w:ascii="Arial MT"/>
          <w:color w:val="231F20"/>
          <w:spacing w:val="-1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Rapids,</w:t>
      </w:r>
      <w:r>
        <w:rPr>
          <w:rFonts w:ascii="Arial MT"/>
          <w:color w:val="231F20"/>
          <w:spacing w:val="-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MI.</w:t>
      </w:r>
    </w:p>
    <w:p>
      <w:pPr>
        <w:spacing w:before="119"/>
        <w:ind w:left="600" w:right="0" w:firstLine="0"/>
        <w:jc w:val="left"/>
        <w:rPr>
          <w:rFonts w:ascii="Arial MT"/>
          <w:sz w:val="14"/>
        </w:rPr>
      </w:pPr>
      <w:r>
        <w:rPr>
          <w:rFonts w:ascii="Arial"/>
          <w:i/>
          <w:color w:val="231F20"/>
          <w:sz w:val="14"/>
          <w:vertAlign w:val="superscript"/>
        </w:rPr>
        <w:t>g</w:t>
      </w:r>
      <w:r>
        <w:rPr>
          <w:rFonts w:ascii="Arial"/>
          <w:i/>
          <w:color w:val="231F20"/>
          <w:spacing w:val="62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Wilbur-Ellis</w:t>
      </w:r>
      <w:r>
        <w:rPr>
          <w:rFonts w:ascii="Arial MT"/>
          <w:color w:val="231F20"/>
          <w:spacing w:val="-1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Co.,</w:t>
      </w:r>
      <w:r>
        <w:rPr>
          <w:rFonts w:ascii="Arial MT"/>
          <w:color w:val="231F20"/>
          <w:spacing w:val="-1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Fresno,</w:t>
      </w:r>
      <w:r>
        <w:rPr>
          <w:rFonts w:ascii="Arial MT"/>
          <w:color w:val="231F20"/>
          <w:spacing w:val="-1"/>
          <w:sz w:val="14"/>
          <w:vertAlign w:val="baseline"/>
        </w:rPr>
        <w:t> </w:t>
      </w:r>
      <w:r>
        <w:rPr>
          <w:rFonts w:ascii="Arial MT"/>
          <w:color w:val="231F20"/>
          <w:sz w:val="14"/>
          <w:vertAlign w:val="baseline"/>
        </w:rPr>
        <w:t>CA.</w:t>
      </w:r>
    </w:p>
    <w:p>
      <w:pPr>
        <w:pStyle w:val="BodyText"/>
        <w:spacing w:before="5"/>
        <w:rPr>
          <w:rFonts w:ascii="Arial MT"/>
          <w:sz w:val="25"/>
        </w:rPr>
      </w:pPr>
    </w:p>
    <w:p>
      <w:pPr>
        <w:spacing w:after="0"/>
        <w:rPr>
          <w:rFonts w:ascii="Arial MT"/>
          <w:sz w:val="25"/>
        </w:rPr>
        <w:sectPr>
          <w:type w:val="continuous"/>
          <w:pgSz w:w="11880" w:h="15840"/>
          <w:pgMar w:top="700" w:bottom="280" w:left="840" w:right="840"/>
        </w:sectPr>
      </w:pPr>
    </w:p>
    <w:p>
      <w:pPr>
        <w:pStyle w:val="BodyText"/>
        <w:spacing w:line="259" w:lineRule="auto" w:before="93"/>
        <w:ind w:left="600" w:right="3"/>
        <w:jc w:val="both"/>
      </w:pPr>
      <w:r>
        <w:rPr/>
        <w:pict>
          <v:shape style="position:absolute;margin-left:569.134705pt;margin-top:215.220001pt;width:10.95pt;height:361.5pt;mso-position-horizontal-relative:page;mso-position-vertical-relative:page;z-index:15732736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https://academic.oup.com/jaoac/article/97/3/764/5654772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17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May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2022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down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amounts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samples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reagents</w:t>
      </w:r>
      <w:r>
        <w:rPr>
          <w:color w:val="231F20"/>
          <w:spacing w:val="-11"/>
        </w:rPr>
        <w:t> </w:t>
      </w:r>
      <w:r>
        <w:rPr>
          <w:color w:val="231F20"/>
        </w:rPr>
        <w:t>used),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analyses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tabulated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Table</w:t>
      </w:r>
      <w:r>
        <w:rPr>
          <w:color w:val="231F20"/>
          <w:spacing w:val="-9"/>
        </w:rPr>
        <w:t> </w:t>
      </w:r>
      <w:r>
        <w:rPr>
          <w:color w:val="231F20"/>
        </w:rPr>
        <w:t>1</w:t>
      </w:r>
      <w:r>
        <w:rPr>
          <w:color w:val="231F20"/>
          <w:spacing w:val="-9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column</w:t>
      </w:r>
      <w:r>
        <w:rPr>
          <w:color w:val="231F20"/>
          <w:spacing w:val="-8"/>
        </w:rPr>
        <w:t> </w:t>
      </w:r>
      <w:r>
        <w:rPr>
          <w:color w:val="231F20"/>
        </w:rPr>
        <w:t>identified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“Yes”</w:t>
      </w:r>
      <w:r>
        <w:rPr>
          <w:color w:val="231F20"/>
          <w:spacing w:val="-1"/>
        </w:rPr>
        <w:t> </w:t>
      </w:r>
      <w:r>
        <w:rPr>
          <w:color w:val="231F20"/>
        </w:rPr>
        <w:t>indicating</w:t>
      </w:r>
      <w:r>
        <w:rPr>
          <w:color w:val="231F20"/>
          <w:spacing w:val="-1"/>
        </w:rPr>
        <w:t> </w:t>
      </w:r>
      <w:r>
        <w:rPr>
          <w:color w:val="231F20"/>
        </w:rPr>
        <w:t>copper sulfate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used.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59" w:lineRule="auto" w:before="0" w:after="0"/>
        <w:ind w:left="599" w:right="3" w:firstLine="180"/>
        <w:jc w:val="both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second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procedure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follows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scaled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down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modification of AOAC </w:t>
      </w:r>
      <w:r>
        <w:rPr>
          <w:b/>
          <w:color w:val="231F20"/>
          <w:w w:val="95"/>
          <w:sz w:val="18"/>
        </w:rPr>
        <w:t>978.02 </w:t>
      </w:r>
      <w:r>
        <w:rPr>
          <w:color w:val="231F20"/>
          <w:w w:val="95"/>
          <w:sz w:val="18"/>
        </w:rPr>
        <w:t>(16th Ed.),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except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5"/>
          <w:sz w:val="18"/>
        </w:rPr>
        <w:t>copper</w:t>
      </w:r>
      <w:r>
        <w:rPr>
          <w:color w:val="231F20"/>
          <w:spacing w:val="41"/>
          <w:sz w:val="18"/>
        </w:rPr>
        <w:t> </w:t>
      </w:r>
      <w:r>
        <w:rPr>
          <w:color w:val="231F20"/>
          <w:w w:val="95"/>
          <w:sz w:val="18"/>
        </w:rPr>
        <w:t>sulfate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is deleted from the list of reagents added for digestion. Results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sz w:val="18"/>
        </w:rPr>
        <w:t>of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analyses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for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procedure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also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tabulated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Table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the column identified as “No” indicating no copper sulfate was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used.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line="259" w:lineRule="auto"/>
        <w:ind w:left="600"/>
      </w:pPr>
      <w:r>
        <w:rPr>
          <w:color w:val="231F20"/>
        </w:rPr>
        <w:t>Procedure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Determination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Kjeldahl</w:t>
      </w:r>
      <w:r>
        <w:rPr>
          <w:color w:val="231F20"/>
          <w:spacing w:val="-47"/>
        </w:rPr>
        <w:t> </w:t>
      </w:r>
      <w:r>
        <w:rPr>
          <w:color w:val="231F20"/>
        </w:rPr>
        <w:t>Nitrogen</w:t>
      </w:r>
      <w:r>
        <w:rPr>
          <w:color w:val="231F20"/>
          <w:spacing w:val="-2"/>
        </w:rPr>
        <w:t> </w:t>
      </w:r>
      <w:r>
        <w:rPr>
          <w:color w:val="231F20"/>
        </w:rPr>
        <w:t>in Fertilizers</w:t>
      </w:r>
    </w:p>
    <w:p>
      <w:pPr>
        <w:spacing w:line="206" w:lineRule="exact" w:before="0"/>
        <w:ind w:left="600" w:right="0" w:firstLine="0"/>
        <w:jc w:val="left"/>
        <w:rPr>
          <w:rFonts w:ascii="Arial"/>
          <w:b/>
          <w:sz w:val="18"/>
        </w:rPr>
      </w:pPr>
      <w:r>
        <w:rPr>
          <w:rFonts w:ascii="Arial"/>
          <w:i/>
          <w:color w:val="231F20"/>
          <w:sz w:val="18"/>
        </w:rPr>
        <w:t>(Adopted</w:t>
      </w:r>
      <w:r>
        <w:rPr>
          <w:rFonts w:ascii="Arial"/>
          <w:i/>
          <w:color w:val="231F20"/>
          <w:spacing w:val="-2"/>
          <w:sz w:val="18"/>
        </w:rPr>
        <w:t> </w:t>
      </w:r>
      <w:r>
        <w:rPr>
          <w:rFonts w:ascii="Arial"/>
          <w:i/>
          <w:color w:val="231F20"/>
          <w:sz w:val="18"/>
        </w:rPr>
        <w:t>from</w:t>
      </w:r>
      <w:r>
        <w:rPr>
          <w:rFonts w:ascii="Arial"/>
          <w:i/>
          <w:color w:val="231F20"/>
          <w:spacing w:val="-8"/>
          <w:sz w:val="18"/>
        </w:rPr>
        <w:t> </w:t>
      </w:r>
      <w:r>
        <w:rPr>
          <w:rFonts w:ascii="Arial"/>
          <w:i/>
          <w:color w:val="231F20"/>
          <w:sz w:val="18"/>
        </w:rPr>
        <w:t>AOAC</w:t>
      </w:r>
      <w:r>
        <w:rPr>
          <w:rFonts w:ascii="Arial"/>
          <w:i/>
          <w:color w:val="231F20"/>
          <w:spacing w:val="-1"/>
          <w:sz w:val="18"/>
        </w:rPr>
        <w:t> </w:t>
      </w:r>
      <w:r>
        <w:rPr>
          <w:rFonts w:ascii="Arial"/>
          <w:i/>
          <w:color w:val="231F20"/>
          <w:sz w:val="18"/>
        </w:rPr>
        <w:t>Method</w:t>
      </w:r>
      <w:r>
        <w:rPr>
          <w:rFonts w:ascii="Arial"/>
          <w:i/>
          <w:color w:val="231F20"/>
          <w:spacing w:val="-1"/>
          <w:sz w:val="18"/>
        </w:rPr>
        <w:t> </w:t>
      </w:r>
      <w:r>
        <w:rPr>
          <w:rFonts w:ascii="Arial"/>
          <w:i/>
          <w:color w:val="231F20"/>
          <w:sz w:val="18"/>
        </w:rPr>
        <w:t>978.02,</w:t>
      </w:r>
      <w:r>
        <w:rPr>
          <w:rFonts w:ascii="Arial"/>
          <w:i/>
          <w:color w:val="231F20"/>
          <w:spacing w:val="-3"/>
          <w:sz w:val="18"/>
        </w:rPr>
        <w:t> </w:t>
      </w:r>
      <w:r>
        <w:rPr>
          <w:rFonts w:ascii="Arial"/>
          <w:i/>
          <w:color w:val="231F20"/>
          <w:sz w:val="18"/>
        </w:rPr>
        <w:t>16th</w:t>
      </w:r>
      <w:r>
        <w:rPr>
          <w:rFonts w:ascii="Arial"/>
          <w:i/>
          <w:color w:val="231F20"/>
          <w:spacing w:val="-2"/>
          <w:sz w:val="18"/>
        </w:rPr>
        <w:t> </w:t>
      </w:r>
      <w:r>
        <w:rPr>
          <w:rFonts w:ascii="Arial"/>
          <w:i/>
          <w:color w:val="231F20"/>
          <w:sz w:val="18"/>
        </w:rPr>
        <w:t>Ed</w:t>
      </w:r>
      <w:r>
        <w:rPr>
          <w:rFonts w:ascii="Arial"/>
          <w:b/>
          <w:color w:val="231F20"/>
          <w:sz w:val="18"/>
        </w:rPr>
        <w:t>.)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46"/>
        <w:ind w:left="72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sz w:val="18"/>
        </w:rPr>
        <w:t>Step</w:t>
      </w:r>
      <w:r>
        <w:rPr>
          <w:rFonts w:ascii="Arial" w:hAnsi="Arial"/>
          <w:i/>
          <w:color w:val="231F20"/>
          <w:spacing w:val="-5"/>
          <w:sz w:val="18"/>
        </w:rPr>
        <w:t> </w:t>
      </w:r>
      <w:r>
        <w:rPr>
          <w:rFonts w:ascii="Arial" w:hAnsi="Arial"/>
          <w:i/>
          <w:color w:val="231F20"/>
          <w:sz w:val="18"/>
        </w:rPr>
        <w:t>1—Digestion</w:t>
      </w:r>
    </w:p>
    <w:p>
      <w:pPr>
        <w:pStyle w:val="BodyText"/>
        <w:spacing w:line="259" w:lineRule="auto" w:before="137"/>
        <w:ind w:left="599" w:firstLine="180"/>
        <w:jc w:val="both"/>
      </w:pPr>
      <w:r>
        <w:rPr>
          <w:color w:val="231F20"/>
        </w:rPr>
        <w:t>Add</w:t>
      </w:r>
      <w:r>
        <w:rPr>
          <w:color w:val="231F20"/>
          <w:spacing w:val="-3"/>
        </w:rPr>
        <w:t> </w:t>
      </w:r>
      <w:r>
        <w:rPr>
          <w:color w:val="231F20"/>
        </w:rPr>
        <w:t>15</w:t>
      </w:r>
      <w:r>
        <w:rPr>
          <w:color w:val="231F20"/>
          <w:spacing w:val="-3"/>
        </w:rPr>
        <w:t> </w:t>
      </w:r>
      <w:r>
        <w:rPr>
          <w:color w:val="231F20"/>
        </w:rPr>
        <w:t>g</w:t>
      </w:r>
      <w:r>
        <w:rPr>
          <w:color w:val="231F20"/>
          <w:spacing w:val="-2"/>
        </w:rPr>
        <w:t> </w:t>
      </w:r>
      <w:r>
        <w:rPr>
          <w:color w:val="231F20"/>
        </w:rPr>
        <w:t>K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12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anhydrous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Na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0.4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anhydrous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CuSO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0.6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CuSO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∙5H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approximately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0.8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alundum granules. Add 37 mL diluted sulfuric acid with water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+ 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O (1 + 1, v/v) or 20 mL concentrated sulfuric acid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if adequate ventilation is available. Add sufficient test portion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mass, precisely 0.1000 to 2.800 g for fertilizers with 30 to 5%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nitrogen, respectively. Rinse the inner wall with about 10 mL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water.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Transfer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flasks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preheated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(400°C)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Kjeldahl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block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digestor and digest the test portions for 75 min.</w:t>
      </w:r>
    </w:p>
    <w:p>
      <w:pPr>
        <w:pStyle w:val="BodyText"/>
        <w:spacing w:line="259" w:lineRule="auto"/>
        <w:ind w:left="600" w:right="3" w:firstLine="179"/>
        <w:jc w:val="both"/>
      </w:pPr>
      <w:r>
        <w:rPr>
          <w:color w:val="231F20"/>
        </w:rPr>
        <w:t>AOAC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Official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Method</w:t>
      </w:r>
      <w:r>
        <w:rPr>
          <w:color w:val="231F20"/>
          <w:vertAlign w:val="superscript"/>
        </w:rPr>
        <w:t>SM</w:t>
      </w:r>
      <w:r>
        <w:rPr>
          <w:color w:val="231F20"/>
          <w:spacing w:val="-7"/>
          <w:vertAlign w:val="baseline"/>
        </w:rPr>
        <w:t> </w:t>
      </w:r>
      <w:r>
        <w:rPr>
          <w:b/>
          <w:color w:val="231F20"/>
          <w:vertAlign w:val="baseline"/>
        </w:rPr>
        <w:t>955.04</w:t>
      </w:r>
      <w:r>
        <w:rPr>
          <w:b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subsequent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modified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versions (</w:t>
      </w:r>
      <w:r>
        <w:rPr>
          <w:b/>
          <w:color w:val="231F20"/>
          <w:vertAlign w:val="baseline"/>
        </w:rPr>
        <w:t>970.02 </w:t>
      </w:r>
      <w:r>
        <w:rPr>
          <w:color w:val="231F20"/>
          <w:vertAlign w:val="baseline"/>
        </w:rPr>
        <w:t>and </w:t>
      </w:r>
      <w:r>
        <w:rPr>
          <w:b/>
          <w:color w:val="231F20"/>
          <w:vertAlign w:val="baseline"/>
        </w:rPr>
        <w:t>978.02</w:t>
      </w:r>
      <w:r>
        <w:rPr>
          <w:color w:val="231F20"/>
          <w:vertAlign w:val="baseline"/>
        </w:rPr>
        <w:t>) does not specify the temperature.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describes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using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preheated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block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such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way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bring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250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water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boiling in 5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min.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This corresponds 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400°C.</w:t>
      </w:r>
    </w:p>
    <w:p>
      <w:pPr>
        <w:pStyle w:val="BodyText"/>
        <w:spacing w:line="205" w:lineRule="exact"/>
        <w:ind w:right="4"/>
        <w:jc w:val="right"/>
      </w:pPr>
      <w:r>
        <w:rPr>
          <w:color w:val="231F20"/>
        </w:rPr>
        <w:t>Modifications</w:t>
      </w:r>
      <w:r>
        <w:rPr>
          <w:color w:val="231F20"/>
          <w:spacing w:val="56"/>
        </w:rPr>
        <w:t> </w:t>
      </w:r>
      <w:r>
        <w:rPr>
          <w:color w:val="231F20"/>
        </w:rPr>
        <w:t>of</w:t>
      </w:r>
      <w:r>
        <w:rPr>
          <w:color w:val="231F20"/>
          <w:spacing w:val="56"/>
        </w:rPr>
        <w:t> </w:t>
      </w:r>
      <w:r>
        <w:rPr>
          <w:color w:val="231F20"/>
        </w:rPr>
        <w:t>Step</w:t>
      </w:r>
      <w:r>
        <w:rPr>
          <w:color w:val="231F20"/>
          <w:spacing w:val="57"/>
        </w:rPr>
        <w:t> </w:t>
      </w:r>
      <w:r>
        <w:rPr>
          <w:color w:val="231F20"/>
        </w:rPr>
        <w:t>1</w:t>
      </w:r>
      <w:r>
        <w:rPr>
          <w:color w:val="231F20"/>
          <w:spacing w:val="56"/>
        </w:rPr>
        <w:t> </w:t>
      </w:r>
      <w:r>
        <w:rPr>
          <w:color w:val="231F20"/>
        </w:rPr>
        <w:t>included</w:t>
      </w:r>
      <w:r>
        <w:rPr>
          <w:color w:val="231F20"/>
          <w:spacing w:val="57"/>
        </w:rPr>
        <w:t> </w:t>
      </w:r>
      <w:r>
        <w:rPr>
          <w:color w:val="231F20"/>
        </w:rPr>
        <w:t>elimination</w:t>
      </w:r>
      <w:r>
        <w:rPr>
          <w:color w:val="231F20"/>
          <w:spacing w:val="56"/>
        </w:rPr>
        <w:t> </w:t>
      </w:r>
      <w:r>
        <w:rPr>
          <w:color w:val="231F20"/>
        </w:rPr>
        <w:t>of</w:t>
      </w:r>
      <w:r>
        <w:rPr>
          <w:color w:val="231F20"/>
          <w:spacing w:val="57"/>
        </w:rPr>
        <w:t> </w:t>
      </w:r>
      <w:r>
        <w:rPr>
          <w:color w:val="231F20"/>
        </w:rPr>
        <w:t>copper</w:t>
      </w:r>
    </w:p>
    <w:p>
      <w:pPr>
        <w:pStyle w:val="BodyText"/>
        <w:spacing w:before="12"/>
        <w:ind w:right="3"/>
        <w:jc w:val="right"/>
      </w:pPr>
      <w:r>
        <w:rPr>
          <w:color w:val="231F20"/>
        </w:rPr>
        <w:t>sulfate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alundum.</w:t>
      </w:r>
      <w:r>
        <w:rPr>
          <w:color w:val="231F20"/>
          <w:spacing w:val="34"/>
        </w:rPr>
        <w:t> </w:t>
      </w:r>
      <w:r>
        <w:rPr>
          <w:color w:val="231F20"/>
        </w:rPr>
        <w:t>Because</w:t>
      </w:r>
      <w:r>
        <w:rPr>
          <w:color w:val="231F20"/>
          <w:spacing w:val="34"/>
        </w:rPr>
        <w:t> </w:t>
      </w:r>
      <w:r>
        <w:rPr>
          <w:color w:val="231F20"/>
        </w:rPr>
        <w:t>alundum</w:t>
      </w:r>
      <w:r>
        <w:rPr>
          <w:color w:val="231F20"/>
          <w:spacing w:val="34"/>
        </w:rPr>
        <w:t> </w:t>
      </w:r>
      <w:r>
        <w:rPr>
          <w:color w:val="231F20"/>
        </w:rPr>
        <w:t>was</w:t>
      </w:r>
      <w:r>
        <w:rPr>
          <w:color w:val="231F20"/>
          <w:spacing w:val="34"/>
        </w:rPr>
        <w:t> </w:t>
      </w:r>
      <w:r>
        <w:rPr>
          <w:color w:val="231F20"/>
        </w:rPr>
        <w:t>eliminated,</w:t>
      </w:r>
      <w:r>
        <w:rPr>
          <w:color w:val="231F20"/>
          <w:spacing w:val="34"/>
        </w:rPr>
        <w:t> </w:t>
      </w:r>
      <w:r>
        <w:rPr>
          <w:color w:val="231F20"/>
        </w:rPr>
        <w:t>two</w:t>
      </w:r>
    </w:p>
    <w:p>
      <w:pPr>
        <w:pStyle w:val="BodyText"/>
        <w:spacing w:line="268" w:lineRule="auto" w:before="93"/>
        <w:ind w:left="313" w:right="119"/>
        <w:jc w:val="both"/>
      </w:pPr>
      <w:r>
        <w:rPr/>
        <w:br w:type="column"/>
      </w:r>
      <w:r>
        <w:rPr>
          <w:color w:val="231F20"/>
        </w:rPr>
        <w:t>glass beads were used to reduce bumping. Also, 7–8 g K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was used instead of 15 g, and 15 mL concentrated 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was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used instead of 37 mL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(1 + 1).</w:t>
      </w:r>
    </w:p>
    <w:p>
      <w:pPr>
        <w:pStyle w:val="BodyText"/>
        <w:spacing w:before="1"/>
        <w:ind w:left="493"/>
        <w:jc w:val="both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ratio</w:t>
      </w:r>
      <w:r>
        <w:rPr>
          <w:color w:val="231F20"/>
          <w:spacing w:val="58"/>
        </w:rPr>
        <w:t> </w:t>
      </w:r>
      <w:r>
        <w:rPr>
          <w:color w:val="231F20"/>
        </w:rPr>
        <w:t>of</w:t>
      </w:r>
      <w:r>
        <w:rPr>
          <w:color w:val="231F20"/>
          <w:spacing w:val="58"/>
        </w:rPr>
        <w:t> </w:t>
      </w:r>
      <w:r>
        <w:rPr>
          <w:color w:val="231F20"/>
        </w:rPr>
        <w:t>K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vertAlign w:val="baseline"/>
        </w:rPr>
        <w:t>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spacing w:val="58"/>
          <w:vertAlign w:val="baseline"/>
        </w:rPr>
        <w:t> </w:t>
      </w:r>
      <w:r>
        <w:rPr>
          <w:color w:val="231F20"/>
          <w:vertAlign w:val="baseline"/>
        </w:rPr>
        <w:t>(1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1)</w:t>
      </w:r>
      <w:r>
        <w:rPr>
          <w:color w:val="231F20"/>
          <w:spacing w:val="5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58"/>
          <w:vertAlign w:val="baseline"/>
        </w:rPr>
        <w:t> </w:t>
      </w:r>
      <w:r>
        <w:rPr>
          <w:color w:val="231F20"/>
          <w:vertAlign w:val="baseline"/>
        </w:rPr>
        <w:t>approximately</w:t>
      </w:r>
    </w:p>
    <w:p>
      <w:pPr>
        <w:pStyle w:val="BodyText"/>
        <w:spacing w:line="268" w:lineRule="auto" w:before="25"/>
        <w:ind w:left="313" w:right="117"/>
        <w:jc w:val="both"/>
      </w:pPr>
      <w:r>
        <w:rPr>
          <w:color w:val="231F20"/>
        </w:rPr>
        <w:t>2.5</w:t>
      </w:r>
      <w:r>
        <w:rPr>
          <w:color w:val="231F20"/>
          <w:spacing w:val="1"/>
        </w:rPr>
        <w:t> </w:t>
      </w:r>
      <w:r>
        <w:rPr>
          <w:color w:val="231F20"/>
        </w:rPr>
        <w:t>(37</w:t>
      </w:r>
      <w:r>
        <w:rPr>
          <w:color w:val="231F20"/>
          <w:spacing w:val="1"/>
        </w:rPr>
        <w:t> </w:t>
      </w:r>
      <w:r>
        <w:rPr>
          <w:color w:val="231F20"/>
        </w:rPr>
        <w:t>mL/15</w:t>
      </w:r>
      <w:r>
        <w:rPr>
          <w:color w:val="231F20"/>
          <w:spacing w:val="1"/>
        </w:rPr>
        <w:t> </w:t>
      </w:r>
      <w:r>
        <w:rPr>
          <w:color w:val="231F20"/>
        </w:rPr>
        <w:t>g</w:t>
      </w:r>
      <w:r>
        <w:rPr>
          <w:color w:val="231F20"/>
          <w:spacing w:val="1"/>
        </w:rPr>
        <w:t> </w:t>
      </w:r>
      <w:r>
        <w:rPr>
          <w:color w:val="231F20"/>
        </w:rPr>
        <w:t>=</w:t>
      </w:r>
      <w:r>
        <w:rPr>
          <w:color w:val="231F20"/>
          <w:spacing w:val="1"/>
        </w:rPr>
        <w:t> </w:t>
      </w:r>
      <w:r>
        <w:rPr>
          <w:color w:val="231F20"/>
        </w:rPr>
        <w:t>2.466).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amounts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reduced</w:t>
      </w:r>
      <w:r>
        <w:rPr>
          <w:color w:val="231F20"/>
          <w:spacing w:val="1"/>
        </w:rPr>
        <w:t> </w:t>
      </w:r>
      <w:r>
        <w:rPr>
          <w:color w:val="231F20"/>
        </w:rPr>
        <w:t>accordingly, but within the same ratio. As a result, 7.5–8 g</w:t>
      </w:r>
      <w:r>
        <w:rPr>
          <w:color w:val="231F20"/>
          <w:spacing w:val="1"/>
        </w:rPr>
        <w:t> </w:t>
      </w:r>
      <w:r>
        <w:rPr>
          <w:color w:val="231F20"/>
        </w:rPr>
        <w:t>K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and 15 mL concentrated 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were used, and the wall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of the digestion tubes was washed with 5–10 mL water, so 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1"/>
          <w:vertAlign w:val="baseline"/>
        </w:rPr>
        <w:t>total </w:t>
      </w:r>
      <w:r>
        <w:rPr>
          <w:color w:val="231F20"/>
          <w:vertAlign w:val="baseline"/>
        </w:rPr>
        <w:t>of 20–25 mL 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(1 + 1) was used instead of 37 mL.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maintains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ratio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K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(1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1)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prescribed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but uses less reagents.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493" w:right="0" w:firstLine="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sz w:val="18"/>
        </w:rPr>
        <w:t>Step</w:t>
      </w:r>
      <w:r>
        <w:rPr>
          <w:rFonts w:ascii="Arial" w:hAnsi="Arial"/>
          <w:i/>
          <w:color w:val="231F20"/>
          <w:spacing w:val="-7"/>
          <w:sz w:val="18"/>
        </w:rPr>
        <w:t> </w:t>
      </w:r>
      <w:r>
        <w:rPr>
          <w:rFonts w:ascii="Arial" w:hAnsi="Arial"/>
          <w:i/>
          <w:color w:val="231F20"/>
          <w:sz w:val="18"/>
        </w:rPr>
        <w:t>2—Determination</w:t>
      </w:r>
    </w:p>
    <w:p>
      <w:pPr>
        <w:pStyle w:val="BodyText"/>
        <w:spacing w:before="1"/>
        <w:rPr>
          <w:rFonts w:ascii="Arial"/>
          <w:i/>
          <w:sz w:val="23"/>
        </w:rPr>
      </w:pPr>
    </w:p>
    <w:p>
      <w:pPr>
        <w:pStyle w:val="BodyText"/>
        <w:spacing w:line="268" w:lineRule="auto"/>
        <w:ind w:left="313" w:right="111" w:firstLine="180"/>
        <w:jc w:val="both"/>
      </w:pPr>
      <w:r>
        <w:rPr>
          <w:color w:val="231F20"/>
        </w:rPr>
        <w:t>Remove the flasks from the heating block and upon cooling</w:t>
      </w:r>
      <w:r>
        <w:rPr>
          <w:color w:val="231F20"/>
          <w:spacing w:val="1"/>
        </w:rPr>
        <w:t> </w:t>
      </w:r>
      <w:r>
        <w:rPr>
          <w:color w:val="231F20"/>
        </w:rPr>
        <w:t>(the reaction mixture must be near room temperature) wash the</w:t>
      </w:r>
      <w:r>
        <w:rPr>
          <w:color w:val="231F20"/>
          <w:spacing w:val="-42"/>
        </w:rPr>
        <w:t> </w:t>
      </w:r>
      <w:r>
        <w:rPr>
          <w:color w:val="231F20"/>
        </w:rPr>
        <w:t>inner wall with 20–30 mL water and mix. Prepare the distillate</w:t>
      </w:r>
      <w:r>
        <w:rPr>
          <w:color w:val="231F20"/>
          <w:spacing w:val="1"/>
        </w:rPr>
        <w:t> </w:t>
      </w:r>
      <w:r>
        <w:rPr>
          <w:color w:val="231F20"/>
        </w:rPr>
        <w:t>receiving flask (a 300 mL Erlenmeyer flask) by adding 30 mL</w:t>
      </w:r>
      <w:r>
        <w:rPr>
          <w:color w:val="231F20"/>
          <w:spacing w:val="1"/>
        </w:rPr>
        <w:t> </w:t>
      </w:r>
      <w:r>
        <w:rPr>
          <w:color w:val="231F20"/>
        </w:rPr>
        <w:t>of 0.25 N standardized sulfuric acid to trap the expected total</w:t>
      </w:r>
      <w:r>
        <w:rPr>
          <w:color w:val="231F20"/>
          <w:spacing w:val="1"/>
        </w:rPr>
        <w:t> </w:t>
      </w:r>
      <w:r>
        <w:rPr>
          <w:color w:val="231F20"/>
        </w:rPr>
        <w:t>nitrogen in the test portion. Add 2–3 drops of methyl purple</w:t>
      </w:r>
      <w:r>
        <w:rPr>
          <w:color w:val="231F20"/>
          <w:spacing w:val="1"/>
        </w:rPr>
        <w:t> </w:t>
      </w:r>
      <w:r>
        <w:rPr>
          <w:color w:val="231F20"/>
        </w:rPr>
        <w:t>indicator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install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receiver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outlet</w:t>
      </w:r>
      <w:r>
        <w:rPr>
          <w:color w:val="231F20"/>
          <w:spacing w:val="1"/>
        </w:rPr>
        <w:t> </w:t>
      </w:r>
      <w:r>
        <w:rPr>
          <w:color w:val="231F20"/>
        </w:rPr>
        <w:t>tube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distillation unit, being sure that the distillate outlet tube end is</w:t>
      </w:r>
      <w:r>
        <w:rPr>
          <w:color w:val="231F20"/>
          <w:spacing w:val="1"/>
        </w:rPr>
        <w:t> </w:t>
      </w:r>
      <w:r>
        <w:rPr>
          <w:color w:val="231F20"/>
        </w:rPr>
        <w:t>totally immersed in the standardized acid solution. Install the</w:t>
      </w:r>
      <w:r>
        <w:rPr>
          <w:color w:val="231F20"/>
          <w:spacing w:val="1"/>
        </w:rPr>
        <w:t> </w:t>
      </w:r>
      <w:r>
        <w:rPr>
          <w:color w:val="231F20"/>
        </w:rPr>
        <w:t>digestion tube on the distillation unit. Initiate steam generation</w:t>
      </w:r>
      <w:r>
        <w:rPr>
          <w:color w:val="231F20"/>
          <w:spacing w:val="1"/>
        </w:rPr>
        <w:t> </w:t>
      </w:r>
      <w:r>
        <w:rPr>
          <w:color w:val="231F20"/>
        </w:rPr>
        <w:t>and slowly dispense about 80 mL (30–35%) sodium hydroxide</w:t>
      </w:r>
      <w:r>
        <w:rPr>
          <w:color w:val="231F20"/>
          <w:spacing w:val="-42"/>
        </w:rPr>
        <w:t> </w:t>
      </w:r>
      <w:r>
        <w:rPr>
          <w:color w:val="231F20"/>
        </w:rPr>
        <w:t>into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flask.</w:t>
      </w:r>
      <w:r>
        <w:rPr>
          <w:color w:val="231F20"/>
          <w:spacing w:val="-4"/>
        </w:rPr>
        <w:t> </w:t>
      </w:r>
      <w:r>
        <w:rPr>
          <w:color w:val="231F20"/>
        </w:rPr>
        <w:t>Continue</w:t>
      </w:r>
      <w:r>
        <w:rPr>
          <w:color w:val="231F20"/>
          <w:spacing w:val="-4"/>
        </w:rPr>
        <w:t> </w:t>
      </w:r>
      <w:r>
        <w:rPr>
          <w:color w:val="231F20"/>
        </w:rPr>
        <w:t>steam</w:t>
      </w:r>
      <w:r>
        <w:rPr>
          <w:color w:val="231F20"/>
          <w:spacing w:val="-4"/>
        </w:rPr>
        <w:t> </w:t>
      </w:r>
      <w:r>
        <w:rPr>
          <w:color w:val="231F20"/>
        </w:rPr>
        <w:t>distillation</w:t>
      </w:r>
      <w:r>
        <w:rPr>
          <w:color w:val="231F20"/>
          <w:spacing w:val="-3"/>
        </w:rPr>
        <w:t> </w:t>
      </w:r>
      <w:r>
        <w:rPr>
          <w:color w:val="231F20"/>
        </w:rPr>
        <w:t>until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250</w:t>
      </w:r>
      <w:r>
        <w:rPr>
          <w:color w:val="231F20"/>
          <w:spacing w:val="-4"/>
        </w:rPr>
        <w:t> </w:t>
      </w:r>
      <w:r>
        <w:rPr>
          <w:color w:val="231F20"/>
        </w:rPr>
        <w:t>mL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more of steam condensate has been collected in the receiving</w:t>
      </w:r>
      <w:r>
        <w:rPr>
          <w:color w:val="231F20"/>
          <w:spacing w:val="1"/>
        </w:rPr>
        <w:t> </w:t>
      </w:r>
      <w:r>
        <w:rPr>
          <w:color w:val="231F20"/>
        </w:rPr>
        <w:t>flask. This usually requires about 6–8 min. If color changes to</w:t>
      </w:r>
      <w:r>
        <w:rPr>
          <w:color w:val="231F20"/>
          <w:spacing w:val="1"/>
        </w:rPr>
        <w:t> </w:t>
      </w:r>
      <w:r>
        <w:rPr>
          <w:color w:val="231F20"/>
        </w:rPr>
        <w:t>green,</w:t>
      </w:r>
      <w:r>
        <w:rPr>
          <w:color w:val="231F20"/>
          <w:spacing w:val="-4"/>
        </w:rPr>
        <w:t> </w:t>
      </w:r>
      <w:r>
        <w:rPr>
          <w:color w:val="231F20"/>
        </w:rPr>
        <w:t>add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0.25</w:t>
      </w:r>
      <w:r>
        <w:rPr>
          <w:color w:val="231F20"/>
          <w:spacing w:val="-4"/>
        </w:rPr>
        <w:t> </w:t>
      </w:r>
      <w:r>
        <w:rPr>
          <w:color w:val="231F20"/>
        </w:rPr>
        <w:t>N</w:t>
      </w:r>
      <w:r>
        <w:rPr>
          <w:color w:val="231F20"/>
          <w:spacing w:val="-3"/>
        </w:rPr>
        <w:t> </w:t>
      </w:r>
      <w:r>
        <w:rPr>
          <w:color w:val="231F20"/>
        </w:rPr>
        <w:t>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bring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color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back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purple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record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amount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added.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Titrate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grey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point</w:t>
      </w:r>
    </w:p>
    <w:p>
      <w:pPr>
        <w:spacing w:after="0" w:line="268" w:lineRule="auto"/>
        <w:jc w:val="both"/>
        <w:sectPr>
          <w:type w:val="continuous"/>
          <w:pgSz w:w="11880" w:h="15840"/>
          <w:pgMar w:top="700" w:bottom="280" w:left="840" w:right="840"/>
          <w:cols w:num="2" w:equalWidth="0">
            <w:col w:w="5167" w:space="40"/>
            <w:col w:w="4993"/>
          </w:cols>
        </w:sectPr>
      </w:pPr>
    </w:p>
    <w:p>
      <w:pPr>
        <w:spacing w:before="66"/>
        <w:ind w:left="120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54pt;margin-top:17.303888pt;width:673.6pt;height:.1pt;mso-position-horizontal-relative:page;mso-position-vertical-relative:paragraph;z-index:-15724032;mso-wrap-distance-left:0;mso-wrap-distance-right:0" coordorigin="1080,346" coordsize="13472,0" path="m1080,346l14551,346e" filled="false" stroked="true" strokeweight="1pt" strokecolor="#231f20">
            <v:path arrowok="t"/>
            <v:stroke dashstyle="solid"/>
            <w10:wrap type="topAndBottom"/>
          </v:shape>
        </w:pict>
      </w:r>
      <w:r>
        <w:rPr>
          <w:rFonts w:ascii="Arial"/>
          <w:b/>
          <w:color w:val="231F20"/>
          <w:sz w:val="16"/>
        </w:rPr>
        <w:t>Table</w:t>
      </w:r>
      <w:r>
        <w:rPr>
          <w:rFonts w:ascii="Arial"/>
          <w:b/>
          <w:color w:val="231F20"/>
          <w:spacing w:val="32"/>
          <w:sz w:val="16"/>
        </w:rPr>
        <w:t> </w:t>
      </w:r>
      <w:r>
        <w:rPr>
          <w:rFonts w:ascii="Arial"/>
          <w:b/>
          <w:color w:val="231F20"/>
          <w:sz w:val="16"/>
        </w:rPr>
        <w:t>2.</w:t>
      </w:r>
      <w:r>
        <w:rPr>
          <w:rFonts w:ascii="Arial"/>
          <w:b/>
          <w:color w:val="231F20"/>
          <w:spacing w:val="66"/>
          <w:sz w:val="16"/>
        </w:rPr>
        <w:t> </w:t>
      </w:r>
      <w:r>
        <w:rPr>
          <w:rFonts w:ascii="Arial"/>
          <w:b/>
          <w:color w:val="231F20"/>
          <w:sz w:val="16"/>
        </w:rPr>
        <w:t>Statistical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data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for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total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Kjeldahl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nitrogen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by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the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digestion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method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sz w:val="16"/>
        </w:rPr>
        <w:t>for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sz w:val="16"/>
        </w:rPr>
        <w:t>different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classes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of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z w:val="16"/>
        </w:rPr>
        <w:t>fertilizers</w:t>
      </w:r>
    </w:p>
    <w:p>
      <w:pPr>
        <w:spacing w:before="0" w:after="74"/>
        <w:ind w:left="40" w:right="494" w:firstLine="0"/>
        <w:jc w:val="center"/>
        <w:rPr>
          <w:rFonts w:ascii="Arial MT"/>
          <w:sz w:val="14"/>
        </w:rPr>
      </w:pPr>
      <w:r>
        <w:rPr>
          <w:rFonts w:ascii="Arial MT"/>
          <w:color w:val="231F20"/>
          <w:sz w:val="14"/>
        </w:rPr>
        <w:t>Cupric</w:t>
      </w:r>
      <w:r>
        <w:rPr>
          <w:rFonts w:ascii="Arial MT"/>
          <w:color w:val="231F20"/>
          <w:spacing w:val="-5"/>
          <w:sz w:val="14"/>
        </w:rPr>
        <w:t> </w:t>
      </w:r>
      <w:r>
        <w:rPr>
          <w:rFonts w:ascii="Arial MT"/>
          <w:color w:val="231F20"/>
          <w:sz w:val="14"/>
        </w:rPr>
        <w:t>sulfate</w:t>
      </w:r>
      <w:r>
        <w:rPr>
          <w:rFonts w:ascii="Arial MT"/>
          <w:color w:val="231F20"/>
          <w:spacing w:val="-3"/>
          <w:sz w:val="14"/>
        </w:rPr>
        <w:t> </w:t>
      </w:r>
      <w:r>
        <w:rPr>
          <w:rFonts w:ascii="Arial MT"/>
          <w:color w:val="231F20"/>
          <w:sz w:val="14"/>
        </w:rPr>
        <w:t>added</w:t>
      </w:r>
    </w:p>
    <w:p>
      <w:pPr>
        <w:pStyle w:val="BodyText"/>
        <w:spacing w:line="20" w:lineRule="exact"/>
        <w:ind w:left="115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650.2pt;height:.5pt;mso-position-horizontal-relative:char;mso-position-vertical-relative:line" coordorigin="0,0" coordsize="13004,10">
            <v:line style="position:absolute" from="0,5" to="13003,5" stroked="true" strokeweight=".5pt" strokecolor="#231f20">
              <v:stroke dashstyle="solid"/>
            </v:line>
          </v:group>
        </w:pict>
      </w:r>
      <w:r>
        <w:rPr>
          <w:rFonts w:ascii="Arial MT"/>
          <w:sz w:val="2"/>
        </w:rPr>
      </w:r>
    </w:p>
    <w:p>
      <w:pPr>
        <w:tabs>
          <w:tab w:pos="6059" w:val="left" w:leader="none"/>
        </w:tabs>
        <w:spacing w:before="8"/>
        <w:ind w:left="40" w:right="0" w:firstLine="0"/>
        <w:jc w:val="center"/>
        <w:rPr>
          <w:rFonts w:ascii="Arial MT"/>
          <w:sz w:val="14"/>
        </w:rPr>
      </w:pPr>
      <w:r>
        <w:rPr/>
        <w:pict>
          <v:group style="position:absolute;margin-left:54pt;margin-top:12.965918pt;width:320.650pt;height:.5pt;mso-position-horizontal-relative:page;mso-position-vertical-relative:paragraph;z-index:15734272" coordorigin="1080,259" coordsize="6413,10">
            <v:line style="position:absolute" from="1080,264" to="2198,264" stroked="true" strokeweight=".5pt" strokecolor="#231f20">
              <v:stroke dashstyle="solid"/>
            </v:line>
            <v:line style="position:absolute" from="2198,264" to="7493,264" stroked="true" strokeweight=".5pt" strokecolor="#231f2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4784" from="379.799988pt,13.215918pt" to="704.169988pt,13.215918pt" stroked="true" strokeweight=".5pt" strokecolor="#231f20">
            <v:stroke dashstyle="solid"/>
            <w10:wrap type="none"/>
          </v:line>
        </w:pict>
      </w:r>
      <w:r>
        <w:rPr>
          <w:rFonts w:ascii="Arial MT"/>
          <w:color w:val="231F20"/>
          <w:sz w:val="14"/>
        </w:rPr>
        <w:t>Yes</w:t>
        <w:tab/>
        <w:t>No</w:t>
      </w:r>
    </w:p>
    <w:p>
      <w:pPr>
        <w:spacing w:after="0"/>
        <w:jc w:val="center"/>
        <w:rPr>
          <w:rFonts w:ascii="Arial MT"/>
          <w:sz w:val="14"/>
        </w:rPr>
        <w:sectPr>
          <w:pgSz w:w="15840" w:h="11880" w:orient="landscape"/>
          <w:pgMar w:top="940" w:bottom="280" w:left="960" w:right="1180"/>
        </w:sectPr>
      </w:pPr>
    </w:p>
    <w:p>
      <w:pPr>
        <w:pStyle w:val="BodyText"/>
        <w:rPr>
          <w:rFonts w:ascii="Arial MT"/>
          <w:sz w:val="16"/>
        </w:rPr>
      </w:pPr>
    </w:p>
    <w:p>
      <w:pPr>
        <w:spacing w:before="97"/>
        <w:ind w:left="120" w:right="0" w:firstLine="0"/>
        <w:jc w:val="left"/>
        <w:rPr>
          <w:rFonts w:ascii="Arial MT"/>
          <w:sz w:val="14"/>
        </w:rPr>
      </w:pPr>
      <w:r>
        <w:rPr>
          <w:rFonts w:ascii="Arial MT"/>
          <w:color w:val="231F20"/>
          <w:sz w:val="14"/>
        </w:rPr>
        <w:t>Group I</w:t>
      </w:r>
    </w:p>
    <w:p>
      <w:pPr>
        <w:spacing w:line="268" w:lineRule="auto" w:before="101"/>
        <w:ind w:left="365" w:right="-15" w:hanging="246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231F20"/>
          <w:spacing w:val="-2"/>
          <w:sz w:val="14"/>
        </w:rPr>
        <w:t>Total </w:t>
      </w:r>
      <w:r>
        <w:rPr>
          <w:rFonts w:ascii="Arial MT"/>
          <w:color w:val="231F20"/>
          <w:spacing w:val="-1"/>
          <w:sz w:val="14"/>
        </w:rPr>
        <w:t>nitrogen</w:t>
      </w:r>
      <w:r>
        <w:rPr>
          <w:rFonts w:ascii="Arial MT"/>
          <w:color w:val="231F20"/>
          <w:spacing w:val="-36"/>
          <w:sz w:val="14"/>
        </w:rPr>
        <w:t> </w:t>
      </w:r>
      <w:r>
        <w:rPr>
          <w:rFonts w:ascii="Arial MT"/>
          <w:color w:val="231F20"/>
          <w:sz w:val="14"/>
        </w:rPr>
        <w:t>mean</w:t>
      </w:r>
    </w:p>
    <w:p>
      <w:pPr>
        <w:spacing w:before="101"/>
        <w:ind w:left="94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231F20"/>
          <w:sz w:val="14"/>
        </w:rPr>
        <w:t>95%</w:t>
      </w:r>
      <w:r>
        <w:rPr>
          <w:rFonts w:ascii="Arial MT"/>
          <w:color w:val="231F20"/>
          <w:spacing w:val="-3"/>
          <w:sz w:val="14"/>
        </w:rPr>
        <w:t> </w:t>
      </w:r>
      <w:r>
        <w:rPr>
          <w:rFonts w:ascii="Arial MT"/>
          <w:color w:val="231F20"/>
          <w:sz w:val="14"/>
        </w:rPr>
        <w:t>confidence</w:t>
      </w:r>
    </w:p>
    <w:p>
      <w:pPr>
        <w:tabs>
          <w:tab w:pos="1735" w:val="left" w:leader="none"/>
        </w:tabs>
        <w:spacing w:before="19"/>
        <w:ind w:left="71" w:right="0" w:firstLine="0"/>
        <w:jc w:val="left"/>
        <w:rPr>
          <w:rFonts w:ascii="Arial MT"/>
          <w:sz w:val="14"/>
        </w:rPr>
      </w:pPr>
      <w:r>
        <w:rPr>
          <w:rFonts w:ascii="Arial MT"/>
          <w:color w:val="231F20"/>
          <w:sz w:val="14"/>
        </w:rPr>
        <w:t>interval</w:t>
      </w:r>
      <w:r>
        <w:rPr>
          <w:rFonts w:ascii="Arial MT"/>
          <w:color w:val="231F20"/>
          <w:spacing w:val="-5"/>
          <w:sz w:val="14"/>
        </w:rPr>
        <w:t> </w:t>
      </w:r>
      <w:r>
        <w:rPr>
          <w:rFonts w:ascii="Arial MT"/>
          <w:color w:val="231F20"/>
          <w:sz w:val="14"/>
        </w:rPr>
        <w:t>for</w:t>
      </w:r>
      <w:r>
        <w:rPr>
          <w:rFonts w:ascii="Arial MT"/>
          <w:color w:val="231F20"/>
          <w:spacing w:val="-3"/>
          <w:sz w:val="14"/>
        </w:rPr>
        <w:t> </w:t>
      </w:r>
      <w:r>
        <w:rPr>
          <w:rFonts w:ascii="Arial MT"/>
          <w:color w:val="231F20"/>
          <w:sz w:val="14"/>
        </w:rPr>
        <w:t>mean   </w:t>
      </w:r>
      <w:r>
        <w:rPr>
          <w:rFonts w:ascii="Arial MT"/>
          <w:color w:val="231F20"/>
          <w:spacing w:val="35"/>
          <w:sz w:val="14"/>
        </w:rPr>
        <w:t> </w:t>
      </w:r>
      <w:r>
        <w:rPr>
          <w:rFonts w:ascii="Arial MT"/>
          <w:color w:val="231F20"/>
          <w:sz w:val="14"/>
        </w:rPr>
        <w:t>SD</w:t>
        <w:tab/>
      </w:r>
      <w:r>
        <w:rPr>
          <w:rFonts w:ascii="Arial MT"/>
          <w:color w:val="231F20"/>
          <w:spacing w:val="-1"/>
          <w:sz w:val="14"/>
        </w:rPr>
        <w:t>High</w:t>
      </w:r>
      <w:r>
        <w:rPr>
          <w:rFonts w:ascii="Arial MT"/>
          <w:color w:val="231F20"/>
          <w:spacing w:val="54"/>
          <w:sz w:val="14"/>
        </w:rPr>
        <w:t> </w:t>
      </w:r>
      <w:r>
        <w:rPr>
          <w:rFonts w:ascii="Arial MT"/>
          <w:color w:val="231F20"/>
          <w:spacing w:val="55"/>
          <w:sz w:val="14"/>
        </w:rPr>
        <w:t> </w:t>
      </w:r>
      <w:r>
        <w:rPr>
          <w:rFonts w:ascii="Arial MT"/>
          <w:color w:val="231F20"/>
          <w:sz w:val="14"/>
        </w:rPr>
        <w:t>Low  </w:t>
      </w:r>
      <w:r>
        <w:rPr>
          <w:rFonts w:ascii="Arial MT"/>
          <w:color w:val="231F20"/>
          <w:spacing w:val="37"/>
          <w:sz w:val="14"/>
        </w:rPr>
        <w:t> </w:t>
      </w:r>
      <w:r>
        <w:rPr>
          <w:rFonts w:ascii="Arial MT"/>
          <w:color w:val="231F20"/>
          <w:sz w:val="14"/>
        </w:rPr>
        <w:t>Median</w:t>
      </w:r>
    </w:p>
    <w:p>
      <w:pPr>
        <w:spacing w:before="101"/>
        <w:ind w:left="49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231F20"/>
          <w:sz w:val="14"/>
        </w:rPr>
        <w:t>Absolute</w:t>
      </w:r>
      <w:r>
        <w:rPr>
          <w:rFonts w:ascii="Arial MT"/>
          <w:color w:val="231F20"/>
          <w:spacing w:val="-9"/>
          <w:sz w:val="14"/>
        </w:rPr>
        <w:t> </w:t>
      </w:r>
      <w:r>
        <w:rPr>
          <w:rFonts w:ascii="Arial MT"/>
          <w:color w:val="231F20"/>
          <w:sz w:val="14"/>
        </w:rPr>
        <w:t>deviation</w:t>
      </w:r>
    </w:p>
    <w:p>
      <w:pPr>
        <w:tabs>
          <w:tab w:pos="1610" w:val="left" w:leader="none"/>
        </w:tabs>
        <w:spacing w:before="19"/>
        <w:ind w:left="232" w:right="0" w:firstLine="0"/>
        <w:jc w:val="left"/>
        <w:rPr>
          <w:rFonts w:ascii="Arial MT"/>
          <w:sz w:val="14"/>
        </w:rPr>
      </w:pPr>
      <w:r>
        <w:rPr>
          <w:rFonts w:ascii="Arial MT"/>
          <w:color w:val="231F20"/>
          <w:sz w:val="14"/>
        </w:rPr>
        <w:t>from median</w:t>
        <w:tab/>
        <w:t>Group II</w:t>
      </w:r>
    </w:p>
    <w:p>
      <w:pPr>
        <w:spacing w:line="268" w:lineRule="auto" w:before="101"/>
        <w:ind w:left="365" w:right="-15" w:hanging="246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231F20"/>
          <w:spacing w:val="-2"/>
          <w:sz w:val="14"/>
        </w:rPr>
        <w:t>Total </w:t>
      </w:r>
      <w:r>
        <w:rPr>
          <w:rFonts w:ascii="Arial MT"/>
          <w:color w:val="231F20"/>
          <w:spacing w:val="-1"/>
          <w:sz w:val="14"/>
        </w:rPr>
        <w:t>nitrogen</w:t>
      </w:r>
      <w:r>
        <w:rPr>
          <w:rFonts w:ascii="Arial MT"/>
          <w:color w:val="231F20"/>
          <w:spacing w:val="-36"/>
          <w:sz w:val="14"/>
        </w:rPr>
        <w:t> </w:t>
      </w:r>
      <w:r>
        <w:rPr>
          <w:rFonts w:ascii="Arial MT"/>
          <w:color w:val="231F20"/>
          <w:sz w:val="14"/>
        </w:rPr>
        <w:t>mean</w:t>
      </w:r>
    </w:p>
    <w:p>
      <w:pPr>
        <w:spacing w:before="101"/>
        <w:ind w:left="87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231F20"/>
          <w:sz w:val="14"/>
        </w:rPr>
        <w:t>95%</w:t>
      </w:r>
      <w:r>
        <w:rPr>
          <w:rFonts w:ascii="Arial MT"/>
          <w:color w:val="231F20"/>
          <w:spacing w:val="-3"/>
          <w:sz w:val="14"/>
        </w:rPr>
        <w:t> </w:t>
      </w:r>
      <w:r>
        <w:rPr>
          <w:rFonts w:ascii="Arial MT"/>
          <w:color w:val="231F20"/>
          <w:sz w:val="14"/>
        </w:rPr>
        <w:t>confidence</w:t>
      </w:r>
    </w:p>
    <w:p>
      <w:pPr>
        <w:tabs>
          <w:tab w:pos="1389" w:val="left" w:leader="none"/>
          <w:tab w:pos="1865" w:val="left" w:leader="none"/>
        </w:tabs>
        <w:spacing w:before="19"/>
        <w:ind w:left="63" w:right="0" w:firstLine="0"/>
        <w:jc w:val="left"/>
        <w:rPr>
          <w:rFonts w:ascii="Arial MT"/>
          <w:sz w:val="14"/>
        </w:rPr>
      </w:pPr>
      <w:r>
        <w:rPr>
          <w:rFonts w:ascii="Arial MT"/>
          <w:color w:val="231F20"/>
          <w:sz w:val="14"/>
        </w:rPr>
        <w:t>interval</w:t>
      </w:r>
      <w:r>
        <w:rPr>
          <w:rFonts w:ascii="Arial MT"/>
          <w:color w:val="231F20"/>
          <w:spacing w:val="-3"/>
          <w:sz w:val="14"/>
        </w:rPr>
        <w:t> </w:t>
      </w:r>
      <w:r>
        <w:rPr>
          <w:rFonts w:ascii="Arial MT"/>
          <w:color w:val="231F20"/>
          <w:sz w:val="14"/>
        </w:rPr>
        <w:t>for</w:t>
      </w:r>
      <w:r>
        <w:rPr>
          <w:rFonts w:ascii="Arial MT"/>
          <w:color w:val="231F20"/>
          <w:spacing w:val="-2"/>
          <w:sz w:val="14"/>
        </w:rPr>
        <w:t> </w:t>
      </w:r>
      <w:r>
        <w:rPr>
          <w:rFonts w:ascii="Arial MT"/>
          <w:color w:val="231F20"/>
          <w:sz w:val="14"/>
        </w:rPr>
        <w:t>mean</w:t>
        <w:tab/>
        <w:t>SD</w:t>
        <w:tab/>
      </w:r>
      <w:r>
        <w:rPr>
          <w:rFonts w:ascii="Arial MT"/>
          <w:color w:val="231F20"/>
          <w:spacing w:val="-1"/>
          <w:sz w:val="14"/>
        </w:rPr>
        <w:t>High</w:t>
      </w:r>
      <w:r>
        <w:rPr>
          <w:rFonts w:ascii="Arial MT"/>
          <w:color w:val="231F20"/>
          <w:spacing w:val="55"/>
          <w:sz w:val="14"/>
        </w:rPr>
        <w:t> </w:t>
      </w:r>
      <w:r>
        <w:rPr>
          <w:rFonts w:ascii="Arial MT"/>
          <w:color w:val="231F20"/>
          <w:spacing w:val="56"/>
          <w:sz w:val="14"/>
        </w:rPr>
        <w:t> </w:t>
      </w:r>
      <w:r>
        <w:rPr>
          <w:rFonts w:ascii="Arial MT"/>
          <w:color w:val="231F20"/>
          <w:spacing w:val="-1"/>
          <w:sz w:val="14"/>
        </w:rPr>
        <w:t>Low</w:t>
      </w:r>
      <w:r>
        <w:rPr>
          <w:rFonts w:ascii="Arial MT"/>
          <w:color w:val="231F20"/>
          <w:spacing w:val="52"/>
          <w:sz w:val="14"/>
        </w:rPr>
        <w:t> </w:t>
      </w:r>
      <w:r>
        <w:rPr>
          <w:rFonts w:ascii="Arial MT"/>
          <w:color w:val="231F20"/>
          <w:spacing w:val="53"/>
          <w:sz w:val="14"/>
        </w:rPr>
        <w:t> </w:t>
      </w:r>
      <w:r>
        <w:rPr>
          <w:rFonts w:ascii="Arial MT"/>
          <w:color w:val="231F20"/>
          <w:spacing w:val="-1"/>
          <w:sz w:val="14"/>
        </w:rPr>
        <w:t>Median</w:t>
      </w:r>
    </w:p>
    <w:p>
      <w:pPr>
        <w:spacing w:before="101"/>
        <w:ind w:left="68" w:right="0" w:firstLine="0"/>
        <w:jc w:val="left"/>
        <w:rPr>
          <w:rFonts w:ascii="Arial MT"/>
          <w:sz w:val="14"/>
        </w:rPr>
      </w:pPr>
      <w:r>
        <w:rPr/>
        <w:br w:type="column"/>
      </w:r>
      <w:r>
        <w:rPr>
          <w:rFonts w:ascii="Arial MT"/>
          <w:color w:val="231F20"/>
          <w:sz w:val="14"/>
        </w:rPr>
        <w:t>Absolute</w:t>
      </w:r>
      <w:r>
        <w:rPr>
          <w:rFonts w:ascii="Arial MT"/>
          <w:color w:val="231F20"/>
          <w:spacing w:val="-9"/>
          <w:sz w:val="14"/>
        </w:rPr>
        <w:t> </w:t>
      </w:r>
      <w:r>
        <w:rPr>
          <w:rFonts w:ascii="Arial MT"/>
          <w:color w:val="231F20"/>
          <w:sz w:val="14"/>
        </w:rPr>
        <w:t>deviation</w:t>
      </w:r>
    </w:p>
    <w:p>
      <w:pPr>
        <w:tabs>
          <w:tab w:pos="1393" w:val="left" w:leader="none"/>
        </w:tabs>
        <w:spacing w:before="19"/>
        <w:ind w:left="251" w:right="0" w:firstLine="0"/>
        <w:jc w:val="left"/>
        <w:rPr>
          <w:rFonts w:ascii="Arial"/>
          <w:i/>
          <w:sz w:val="14"/>
        </w:rPr>
      </w:pPr>
      <w:r>
        <w:rPr>
          <w:rFonts w:ascii="Arial MT"/>
          <w:color w:val="231F20"/>
          <w:sz w:val="14"/>
        </w:rPr>
        <w:t>from median</w:t>
        <w:tab/>
        <w:t>F</w:t>
      </w:r>
      <w:r>
        <w:rPr>
          <w:rFonts w:ascii="Arial"/>
          <w:i/>
          <w:color w:val="231F20"/>
          <w:sz w:val="14"/>
          <w:vertAlign w:val="superscript"/>
        </w:rPr>
        <w:t>a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5840" w:h="11880" w:orient="landscape"/>
          <w:pgMar w:top="700" w:bottom="280" w:left="960" w:right="1180"/>
          <w:cols w:num="7" w:equalWidth="0">
            <w:col w:w="628" w:space="558"/>
            <w:col w:w="961" w:space="39"/>
            <w:col w:w="3094" w:space="39"/>
            <w:col w:w="2157" w:space="137"/>
            <w:col w:w="961" w:space="39"/>
            <w:col w:w="3242" w:space="39"/>
            <w:col w:w="1806"/>
          </w:cols>
        </w:sectPr>
      </w:pPr>
    </w:p>
    <w:p>
      <w:pPr>
        <w:pStyle w:val="BodyText"/>
        <w:spacing w:before="5"/>
        <w:rPr>
          <w:rFonts w:ascii="Arial"/>
          <w:i/>
          <w:sz w:val="5"/>
        </w:rPr>
      </w:pPr>
      <w:r>
        <w:rPr/>
        <w:pict>
          <v:shape style="position:absolute;margin-left:740.90332pt;margin-top:47pt;width:13.1pt;height:303.75pt;mso-position-horizontal-relative:page;mso-position-vertical-relative:page;z-index:15735296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</w:rPr>
                    <w:t>766</w:t>
                  </w:r>
                  <w:r>
                    <w:rPr>
                      <w:b/>
                      <w:color w:val="231F20"/>
                      <w:spacing w:val="84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A</w:t>
                  </w:r>
                  <w:r>
                    <w:rPr>
                      <w:color w:val="231F20"/>
                      <w:sz w:val="15"/>
                    </w:rPr>
                    <w:t>BRAMS</w:t>
                  </w:r>
                  <w:r>
                    <w:rPr>
                      <w:color w:val="231F20"/>
                      <w:spacing w:val="10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ET</w:t>
                  </w:r>
                  <w:r>
                    <w:rPr>
                      <w:color w:val="231F20"/>
                      <w:spacing w:val="10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AL</w:t>
                  </w:r>
                  <w:r>
                    <w:rPr>
                      <w:color w:val="231F20"/>
                      <w:sz w:val="20"/>
                    </w:rPr>
                    <w:t>.</w:t>
                  </w:r>
                  <w:r>
                    <w:rPr>
                      <w:color w:val="231F20"/>
                      <w:sz w:val="18"/>
                    </w:rPr>
                    <w:t>:</w:t>
                  </w:r>
                  <w:r>
                    <w:rPr>
                      <w:color w:val="231F20"/>
                      <w:spacing w:val="-2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J</w:t>
                  </w:r>
                  <w:r>
                    <w:rPr>
                      <w:color w:val="231F20"/>
                      <w:sz w:val="15"/>
                    </w:rPr>
                    <w:t>OURNAL</w:t>
                  </w:r>
                  <w:r>
                    <w:rPr>
                      <w:color w:val="231F20"/>
                      <w:spacing w:val="5"/>
                      <w:sz w:val="15"/>
                    </w:rPr>
                    <w:t> </w:t>
                  </w:r>
                  <w:r>
                    <w:rPr>
                      <w:color w:val="231F20"/>
                      <w:sz w:val="15"/>
                    </w:rPr>
                    <w:t>OF</w:t>
                  </w:r>
                  <w:r>
                    <w:rPr>
                      <w:color w:val="231F20"/>
                      <w:spacing w:val="-4"/>
                      <w:sz w:val="15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AOAC</w:t>
                  </w:r>
                  <w:r>
                    <w:rPr>
                      <w:color w:val="231F20"/>
                      <w:spacing w:val="-3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I</w:t>
                  </w:r>
                  <w:r>
                    <w:rPr>
                      <w:color w:val="231F20"/>
                      <w:sz w:val="15"/>
                    </w:rPr>
                    <w:t>NTERNATIONAL</w:t>
                  </w:r>
                  <w:r>
                    <w:rPr>
                      <w:color w:val="231F20"/>
                      <w:spacing w:val="2"/>
                      <w:sz w:val="15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V</w:t>
                  </w:r>
                  <w:r>
                    <w:rPr>
                      <w:color w:val="231F20"/>
                      <w:sz w:val="13"/>
                    </w:rPr>
                    <w:t>OL</w:t>
                  </w:r>
                  <w:r>
                    <w:rPr>
                      <w:color w:val="231F20"/>
                      <w:sz w:val="18"/>
                    </w:rPr>
                    <w:t>.</w:t>
                  </w:r>
                  <w:r>
                    <w:rPr>
                      <w:color w:val="231F20"/>
                      <w:spacing w:val="-2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97,</w:t>
                  </w:r>
                  <w:r>
                    <w:rPr>
                      <w:color w:val="231F20"/>
                      <w:spacing w:val="-2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N</w:t>
                  </w:r>
                  <w:r>
                    <w:rPr>
                      <w:color w:val="231F20"/>
                      <w:sz w:val="13"/>
                    </w:rPr>
                    <w:t>O</w:t>
                  </w:r>
                  <w:r>
                    <w:rPr>
                      <w:color w:val="231F20"/>
                      <w:sz w:val="18"/>
                    </w:rPr>
                    <w:t>.</w:t>
                  </w:r>
                  <w:r>
                    <w:rPr>
                      <w:color w:val="231F20"/>
                      <w:spacing w:val="-1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3,</w:t>
                  </w:r>
                  <w:r>
                    <w:rPr>
                      <w:color w:val="231F20"/>
                      <w:spacing w:val="-2"/>
                      <w:sz w:val="18"/>
                    </w:rPr>
                    <w:t> </w:t>
                  </w:r>
                  <w:r>
                    <w:rPr>
                      <w:color w:val="231F20"/>
                      <w:sz w:val="18"/>
                    </w:rPr>
                    <w:t>2014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298248pt;margin-top:570.603455pt;width:359.5pt;height:8pt;mso-position-horizontal-relative:page;mso-position-vertical-relative:page;z-index:15735808;rotation:180" type="#_x0000_t136" fillcolor="#666666" stroked="f">
            <o:extrusion v:ext="view" autorotationcenter="t"/>
            <v:textpath style="font-family:&quot;Arial MT&quot;;font-size:8pt;v-text-kern:t;mso-text-shadow:auto" string="Downloaded from https://academic.oup.com/jaoac/article/97/3/764/5654772 by guest on 17 May 2022"/>
            <w10:wrap type="none"/>
          </v:shape>
        </w:pict>
      </w: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666"/>
        <w:gridCol w:w="634"/>
        <w:gridCol w:w="561"/>
        <w:gridCol w:w="575"/>
        <w:gridCol w:w="448"/>
        <w:gridCol w:w="493"/>
        <w:gridCol w:w="690"/>
        <w:gridCol w:w="933"/>
        <w:gridCol w:w="1433"/>
        <w:gridCol w:w="709"/>
        <w:gridCol w:w="707"/>
        <w:gridCol w:w="559"/>
        <w:gridCol w:w="568"/>
        <w:gridCol w:w="472"/>
        <w:gridCol w:w="501"/>
        <w:gridCol w:w="706"/>
        <w:gridCol w:w="867"/>
        <w:gridCol w:w="665"/>
      </w:tblGrid>
      <w:tr>
        <w:trPr>
          <w:trHeight w:val="204" w:hRule="atLeast"/>
        </w:trPr>
        <w:tc>
          <w:tcPr>
            <w:tcW w:w="129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rPr>
                <w:sz w:val="14"/>
              </w:rPr>
            </w:pPr>
            <w:r>
              <w:rPr>
                <w:color w:val="231F20"/>
                <w:sz w:val="14"/>
              </w:rPr>
              <w:t>A.S.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8"/>
                <w:sz w:val="14"/>
              </w:rPr>
              <w:t> </w:t>
            </w:r>
            <w:r>
              <w:rPr>
                <w:color w:val="231F20"/>
                <w:sz w:val="14"/>
              </w:rPr>
              <w:t>A</w:t>
            </w:r>
          </w:p>
        </w:tc>
        <w:tc>
          <w:tcPr>
            <w:tcW w:w="66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21.1</w:t>
            </w:r>
          </w:p>
        </w:tc>
        <w:tc>
          <w:tcPr>
            <w:tcW w:w="63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12"/>
              <w:ind w:right="14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21.1</w:t>
            </w:r>
          </w:p>
        </w:tc>
        <w:tc>
          <w:tcPr>
            <w:tcW w:w="56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24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21.2</w:t>
            </w:r>
          </w:p>
        </w:tc>
        <w:tc>
          <w:tcPr>
            <w:tcW w:w="57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8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0.051</w:t>
            </w:r>
          </w:p>
        </w:tc>
        <w:tc>
          <w:tcPr>
            <w:tcW w:w="44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81"/>
              <w:rPr>
                <w:sz w:val="14"/>
              </w:rPr>
            </w:pPr>
            <w:r>
              <w:rPr>
                <w:color w:val="231F20"/>
                <w:sz w:val="14"/>
              </w:rPr>
              <w:t>21.3</w:t>
            </w:r>
          </w:p>
        </w:tc>
        <w:tc>
          <w:tcPr>
            <w:tcW w:w="49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21.1</w:t>
            </w:r>
          </w:p>
        </w:tc>
        <w:tc>
          <w:tcPr>
            <w:tcW w:w="69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25"/>
              <w:rPr>
                <w:sz w:val="14"/>
              </w:rPr>
            </w:pPr>
            <w:r>
              <w:rPr>
                <w:color w:val="231F20"/>
                <w:sz w:val="14"/>
              </w:rPr>
              <w:t>21.1</w:t>
            </w:r>
          </w:p>
        </w:tc>
        <w:tc>
          <w:tcPr>
            <w:tcW w:w="93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268" w:right="2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0.037</w:t>
            </w:r>
          </w:p>
        </w:tc>
        <w:tc>
          <w:tcPr>
            <w:tcW w:w="1433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247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A.S. Group B</w:t>
            </w:r>
          </w:p>
        </w:tc>
        <w:tc>
          <w:tcPr>
            <w:tcW w:w="70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21.1</w:t>
            </w:r>
          </w:p>
        </w:tc>
        <w:tc>
          <w:tcPr>
            <w:tcW w:w="70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234" w:right="15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21.0</w:t>
            </w:r>
          </w:p>
        </w:tc>
        <w:tc>
          <w:tcPr>
            <w:tcW w:w="55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47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21.2</w:t>
            </w:r>
          </w:p>
        </w:tc>
        <w:tc>
          <w:tcPr>
            <w:tcW w:w="5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0.079</w:t>
            </w:r>
          </w:p>
        </w:tc>
        <w:tc>
          <w:tcPr>
            <w:tcW w:w="47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98"/>
              <w:rPr>
                <w:sz w:val="14"/>
              </w:rPr>
            </w:pPr>
            <w:r>
              <w:rPr>
                <w:color w:val="231F20"/>
                <w:sz w:val="14"/>
              </w:rPr>
              <w:t>21.2</w:t>
            </w:r>
          </w:p>
        </w:tc>
        <w:tc>
          <w:tcPr>
            <w:tcW w:w="50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87"/>
              <w:rPr>
                <w:sz w:val="14"/>
              </w:rPr>
            </w:pPr>
            <w:r>
              <w:rPr>
                <w:color w:val="231F20"/>
                <w:sz w:val="14"/>
              </w:rPr>
              <w:t>20.8</w:t>
            </w:r>
          </w:p>
        </w:tc>
        <w:tc>
          <w:tcPr>
            <w:tcW w:w="70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128"/>
              <w:rPr>
                <w:sz w:val="14"/>
              </w:rPr>
            </w:pPr>
            <w:r>
              <w:rPr>
                <w:color w:val="231F20"/>
                <w:sz w:val="14"/>
              </w:rPr>
              <w:t>21.1</w:t>
            </w:r>
          </w:p>
        </w:tc>
        <w:tc>
          <w:tcPr>
            <w:tcW w:w="86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left="272" w:right="20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0.046</w:t>
            </w:r>
          </w:p>
        </w:tc>
        <w:tc>
          <w:tcPr>
            <w:tcW w:w="665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2"/>
              <w:ind w:right="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0.673</w:t>
            </w:r>
          </w:p>
        </w:tc>
      </w:tr>
      <w:tr>
        <w:trPr>
          <w:trHeight w:val="295" w:hRule="atLeast"/>
        </w:trPr>
        <w:tc>
          <w:tcPr>
            <w:tcW w:w="1291" w:type="dxa"/>
          </w:tcPr>
          <w:p>
            <w:pPr>
              <w:pStyle w:val="TableParagraph"/>
              <w:spacing w:before="87"/>
              <w:rPr>
                <w:sz w:val="14"/>
              </w:rPr>
            </w:pPr>
            <w:r>
              <w:rPr>
                <w:color w:val="231F20"/>
                <w:sz w:val="14"/>
              </w:rPr>
              <w:t>T-K</w:t>
            </w:r>
            <w:r>
              <w:rPr>
                <w:color w:val="231F20"/>
                <w:sz w:val="14"/>
                <w:vertAlign w:val="superscript"/>
              </w:rPr>
              <w:t>+</w:t>
            </w:r>
            <w:r>
              <w:rPr>
                <w:color w:val="231F20"/>
                <w:spacing w:val="-2"/>
                <w:sz w:val="14"/>
                <w:vertAlign w:val="baseline"/>
              </w:rPr>
              <w:t> </w:t>
            </w:r>
            <w:r>
              <w:rPr>
                <w:color w:val="231F20"/>
                <w:sz w:val="14"/>
                <w:vertAlign w:val="baseline"/>
              </w:rPr>
              <w:t>Group</w:t>
            </w:r>
            <w:r>
              <w:rPr>
                <w:color w:val="231F20"/>
                <w:spacing w:val="-2"/>
                <w:sz w:val="14"/>
                <w:vertAlign w:val="baseline"/>
              </w:rPr>
              <w:t> </w:t>
            </w:r>
            <w:r>
              <w:rPr>
                <w:color w:val="231F20"/>
                <w:sz w:val="14"/>
                <w:vertAlign w:val="baseline"/>
              </w:rPr>
              <w:t>C</w:t>
            </w:r>
          </w:p>
        </w:tc>
        <w:tc>
          <w:tcPr>
            <w:tcW w:w="666" w:type="dxa"/>
          </w:tcPr>
          <w:p>
            <w:pPr>
              <w:pStyle w:val="TableParagraph"/>
              <w:spacing w:before="87"/>
              <w:ind w:left="217"/>
              <w:rPr>
                <w:sz w:val="14"/>
              </w:rPr>
            </w:pPr>
            <w:r>
              <w:rPr>
                <w:color w:val="231F20"/>
                <w:sz w:val="14"/>
              </w:rPr>
              <w:t>5.2</w:t>
            </w:r>
          </w:p>
        </w:tc>
        <w:tc>
          <w:tcPr>
            <w:tcW w:w="634" w:type="dxa"/>
          </w:tcPr>
          <w:p>
            <w:pPr>
              <w:pStyle w:val="TableParagraph"/>
              <w:spacing w:before="87"/>
              <w:ind w:right="18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5.0</w:t>
            </w:r>
          </w:p>
        </w:tc>
        <w:tc>
          <w:tcPr>
            <w:tcW w:w="561" w:type="dxa"/>
          </w:tcPr>
          <w:p>
            <w:pPr>
              <w:pStyle w:val="TableParagraph"/>
              <w:spacing w:before="87"/>
              <w:ind w:left="124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5.4</w:t>
            </w:r>
          </w:p>
        </w:tc>
        <w:tc>
          <w:tcPr>
            <w:tcW w:w="575" w:type="dxa"/>
          </w:tcPr>
          <w:p>
            <w:pPr>
              <w:pStyle w:val="TableParagraph"/>
              <w:spacing w:before="87"/>
              <w:ind w:right="8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0.161</w:t>
            </w:r>
          </w:p>
        </w:tc>
        <w:tc>
          <w:tcPr>
            <w:tcW w:w="448" w:type="dxa"/>
          </w:tcPr>
          <w:p>
            <w:pPr>
              <w:pStyle w:val="TableParagraph"/>
              <w:spacing w:before="87"/>
              <w:ind w:left="120"/>
              <w:rPr>
                <w:sz w:val="14"/>
              </w:rPr>
            </w:pPr>
            <w:r>
              <w:rPr>
                <w:color w:val="231F20"/>
                <w:sz w:val="14"/>
              </w:rPr>
              <w:t>5.5</w:t>
            </w:r>
          </w:p>
        </w:tc>
        <w:tc>
          <w:tcPr>
            <w:tcW w:w="493" w:type="dxa"/>
          </w:tcPr>
          <w:p>
            <w:pPr>
              <w:pStyle w:val="TableParagraph"/>
              <w:spacing w:before="87"/>
              <w:ind w:left="130"/>
              <w:rPr>
                <w:sz w:val="14"/>
              </w:rPr>
            </w:pPr>
            <w:r>
              <w:rPr>
                <w:color w:val="231F20"/>
                <w:sz w:val="14"/>
              </w:rPr>
              <w:t>5.1</w:t>
            </w:r>
          </w:p>
        </w:tc>
        <w:tc>
          <w:tcPr>
            <w:tcW w:w="690" w:type="dxa"/>
          </w:tcPr>
          <w:p>
            <w:pPr>
              <w:pStyle w:val="TableParagraph"/>
              <w:spacing w:before="87"/>
              <w:ind w:left="163"/>
              <w:rPr>
                <w:sz w:val="14"/>
              </w:rPr>
            </w:pPr>
            <w:r>
              <w:rPr>
                <w:color w:val="231F20"/>
                <w:sz w:val="14"/>
              </w:rPr>
              <w:t>5.2</w:t>
            </w:r>
          </w:p>
        </w:tc>
        <w:tc>
          <w:tcPr>
            <w:tcW w:w="933" w:type="dxa"/>
          </w:tcPr>
          <w:p>
            <w:pPr>
              <w:pStyle w:val="TableParagraph"/>
              <w:spacing w:before="87"/>
              <w:ind w:left="268" w:right="2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0.105</w:t>
            </w:r>
          </w:p>
        </w:tc>
        <w:tc>
          <w:tcPr>
            <w:tcW w:w="1433" w:type="dxa"/>
          </w:tcPr>
          <w:p>
            <w:pPr>
              <w:pStyle w:val="TableParagraph"/>
              <w:spacing w:before="87"/>
              <w:ind w:right="23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T-K</w:t>
            </w:r>
            <w:r>
              <w:rPr>
                <w:color w:val="231F20"/>
                <w:sz w:val="14"/>
                <w:vertAlign w:val="superscript"/>
              </w:rPr>
              <w:t>+</w:t>
            </w:r>
            <w:r>
              <w:rPr>
                <w:color w:val="231F20"/>
                <w:spacing w:val="-2"/>
                <w:sz w:val="14"/>
                <w:vertAlign w:val="baseline"/>
              </w:rPr>
              <w:t> </w:t>
            </w:r>
            <w:r>
              <w:rPr>
                <w:color w:val="231F20"/>
                <w:sz w:val="14"/>
                <w:vertAlign w:val="baseline"/>
              </w:rPr>
              <w:t>Group</w:t>
            </w:r>
            <w:r>
              <w:rPr>
                <w:color w:val="231F20"/>
                <w:spacing w:val="-1"/>
                <w:sz w:val="14"/>
                <w:vertAlign w:val="baseline"/>
              </w:rPr>
              <w:t> </w:t>
            </w:r>
            <w:r>
              <w:rPr>
                <w:color w:val="231F20"/>
                <w:sz w:val="14"/>
                <w:vertAlign w:val="baseline"/>
              </w:rPr>
              <w:t>D</w:t>
            </w:r>
          </w:p>
        </w:tc>
        <w:tc>
          <w:tcPr>
            <w:tcW w:w="709" w:type="dxa"/>
          </w:tcPr>
          <w:p>
            <w:pPr>
              <w:pStyle w:val="TableParagraph"/>
              <w:spacing w:before="87"/>
              <w:ind w:left="211"/>
              <w:rPr>
                <w:sz w:val="14"/>
              </w:rPr>
            </w:pPr>
            <w:r>
              <w:rPr>
                <w:color w:val="231F20"/>
                <w:sz w:val="14"/>
              </w:rPr>
              <w:t>5.2</w:t>
            </w:r>
          </w:p>
        </w:tc>
        <w:tc>
          <w:tcPr>
            <w:tcW w:w="707" w:type="dxa"/>
          </w:tcPr>
          <w:p>
            <w:pPr>
              <w:pStyle w:val="TableParagraph"/>
              <w:spacing w:before="87"/>
              <w:ind w:left="234" w:right="15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5.0</w:t>
            </w:r>
          </w:p>
        </w:tc>
        <w:tc>
          <w:tcPr>
            <w:tcW w:w="559" w:type="dxa"/>
          </w:tcPr>
          <w:p>
            <w:pPr>
              <w:pStyle w:val="TableParagraph"/>
              <w:spacing w:before="87"/>
              <w:ind w:left="147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5.4</w:t>
            </w:r>
          </w:p>
        </w:tc>
        <w:tc>
          <w:tcPr>
            <w:tcW w:w="568" w:type="dxa"/>
          </w:tcPr>
          <w:p>
            <w:pPr>
              <w:pStyle w:val="TableParagraph"/>
              <w:spacing w:before="87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0.171</w:t>
            </w:r>
          </w:p>
        </w:tc>
        <w:tc>
          <w:tcPr>
            <w:tcW w:w="472" w:type="dxa"/>
          </w:tcPr>
          <w:p>
            <w:pPr>
              <w:pStyle w:val="TableParagraph"/>
              <w:spacing w:before="87"/>
              <w:ind w:left="137"/>
              <w:rPr>
                <w:sz w:val="14"/>
              </w:rPr>
            </w:pPr>
            <w:r>
              <w:rPr>
                <w:color w:val="231F20"/>
                <w:sz w:val="14"/>
              </w:rPr>
              <w:t>5.5</w:t>
            </w:r>
          </w:p>
        </w:tc>
        <w:tc>
          <w:tcPr>
            <w:tcW w:w="501" w:type="dxa"/>
          </w:tcPr>
          <w:p>
            <w:pPr>
              <w:pStyle w:val="TableParagraph"/>
              <w:spacing w:before="87"/>
              <w:ind w:left="126"/>
              <w:rPr>
                <w:sz w:val="14"/>
              </w:rPr>
            </w:pPr>
            <w:r>
              <w:rPr>
                <w:color w:val="231F20"/>
                <w:sz w:val="14"/>
              </w:rPr>
              <w:t>5.1</w:t>
            </w:r>
          </w:p>
        </w:tc>
        <w:tc>
          <w:tcPr>
            <w:tcW w:w="706" w:type="dxa"/>
          </w:tcPr>
          <w:p>
            <w:pPr>
              <w:pStyle w:val="TableParagraph"/>
              <w:spacing w:before="87"/>
              <w:ind w:left="166"/>
              <w:rPr>
                <w:sz w:val="14"/>
              </w:rPr>
            </w:pPr>
            <w:r>
              <w:rPr>
                <w:color w:val="231F20"/>
                <w:sz w:val="14"/>
              </w:rPr>
              <w:t>5.1</w:t>
            </w:r>
          </w:p>
        </w:tc>
        <w:tc>
          <w:tcPr>
            <w:tcW w:w="867" w:type="dxa"/>
          </w:tcPr>
          <w:p>
            <w:pPr>
              <w:pStyle w:val="TableParagraph"/>
              <w:spacing w:before="87"/>
              <w:ind w:left="272" w:right="20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0.095</w:t>
            </w:r>
          </w:p>
        </w:tc>
        <w:tc>
          <w:tcPr>
            <w:tcW w:w="665" w:type="dxa"/>
          </w:tcPr>
          <w:p>
            <w:pPr>
              <w:pStyle w:val="TableParagraph"/>
              <w:spacing w:before="87"/>
              <w:ind w:right="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</w:tr>
      <w:tr>
        <w:trPr>
          <w:trHeight w:val="279" w:hRule="atLeast"/>
        </w:trPr>
        <w:tc>
          <w:tcPr>
            <w:tcW w:w="129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T-KS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E</w:t>
            </w:r>
          </w:p>
        </w:tc>
        <w:tc>
          <w:tcPr>
            <w:tcW w:w="666" w:type="dxa"/>
          </w:tcPr>
          <w:p>
            <w:pPr>
              <w:pStyle w:val="TableParagraph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14.9</w:t>
            </w:r>
          </w:p>
        </w:tc>
        <w:tc>
          <w:tcPr>
            <w:tcW w:w="634" w:type="dxa"/>
          </w:tcPr>
          <w:p>
            <w:pPr>
              <w:pStyle w:val="TableParagraph"/>
              <w:ind w:right="14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14.7</w:t>
            </w:r>
          </w:p>
        </w:tc>
        <w:tc>
          <w:tcPr>
            <w:tcW w:w="561" w:type="dxa"/>
          </w:tcPr>
          <w:p>
            <w:pPr>
              <w:pStyle w:val="TableParagraph"/>
              <w:ind w:left="124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15.1</w:t>
            </w:r>
          </w:p>
        </w:tc>
        <w:tc>
          <w:tcPr>
            <w:tcW w:w="575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  <w:tc>
          <w:tcPr>
            <w:tcW w:w="448" w:type="dxa"/>
          </w:tcPr>
          <w:p>
            <w:pPr>
              <w:pStyle w:val="TableParagraph"/>
              <w:ind w:left="81"/>
              <w:rPr>
                <w:sz w:val="14"/>
              </w:rPr>
            </w:pPr>
            <w:r>
              <w:rPr>
                <w:color w:val="231F20"/>
                <w:sz w:val="14"/>
              </w:rPr>
              <w:t>14.9</w:t>
            </w:r>
          </w:p>
        </w:tc>
        <w:tc>
          <w:tcPr>
            <w:tcW w:w="493" w:type="dxa"/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14.9</w:t>
            </w:r>
          </w:p>
        </w:tc>
        <w:tc>
          <w:tcPr>
            <w:tcW w:w="690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color w:val="231F20"/>
                <w:sz w:val="14"/>
              </w:rPr>
              <w:t>14.9</w:t>
            </w:r>
          </w:p>
        </w:tc>
        <w:tc>
          <w:tcPr>
            <w:tcW w:w="933" w:type="dxa"/>
          </w:tcPr>
          <w:p>
            <w:pPr>
              <w:pStyle w:val="TableParagraph"/>
              <w:ind w:left="268" w:right="2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  <w:tc>
          <w:tcPr>
            <w:tcW w:w="1433" w:type="dxa"/>
          </w:tcPr>
          <w:p>
            <w:pPr>
              <w:pStyle w:val="TableParagraph"/>
              <w:ind w:right="227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T-KS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F</w:t>
            </w:r>
          </w:p>
        </w:tc>
        <w:tc>
          <w:tcPr>
            <w:tcW w:w="709" w:type="dxa"/>
          </w:tcPr>
          <w:p>
            <w:pPr>
              <w:pStyle w:val="TableParagraph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14.9</w:t>
            </w:r>
          </w:p>
        </w:tc>
        <w:tc>
          <w:tcPr>
            <w:tcW w:w="707" w:type="dxa"/>
          </w:tcPr>
          <w:p>
            <w:pPr>
              <w:pStyle w:val="TableParagraph"/>
              <w:ind w:left="234" w:right="15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14.7</w:t>
            </w:r>
          </w:p>
        </w:tc>
        <w:tc>
          <w:tcPr>
            <w:tcW w:w="559" w:type="dxa"/>
          </w:tcPr>
          <w:p>
            <w:pPr>
              <w:pStyle w:val="TableParagraph"/>
              <w:ind w:left="147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15.1</w:t>
            </w:r>
          </w:p>
        </w:tc>
        <w:tc>
          <w:tcPr>
            <w:tcW w:w="568" w:type="dxa"/>
          </w:tcPr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0.006</w:t>
            </w:r>
          </w:p>
        </w:tc>
        <w:tc>
          <w:tcPr>
            <w:tcW w:w="472" w:type="dxa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color w:val="231F20"/>
                <w:sz w:val="14"/>
              </w:rPr>
              <w:t>14.9</w:t>
            </w:r>
          </w:p>
        </w:tc>
        <w:tc>
          <w:tcPr>
            <w:tcW w:w="501" w:type="dxa"/>
          </w:tcPr>
          <w:p>
            <w:pPr>
              <w:pStyle w:val="TableParagraph"/>
              <w:ind w:left="87"/>
              <w:rPr>
                <w:sz w:val="14"/>
              </w:rPr>
            </w:pPr>
            <w:r>
              <w:rPr>
                <w:color w:val="231F20"/>
                <w:sz w:val="14"/>
              </w:rPr>
              <w:t>14.9</w:t>
            </w:r>
          </w:p>
        </w:tc>
        <w:tc>
          <w:tcPr>
            <w:tcW w:w="706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sz w:val="14"/>
              </w:rPr>
              <w:t>14.9</w:t>
            </w:r>
          </w:p>
        </w:tc>
        <w:tc>
          <w:tcPr>
            <w:tcW w:w="867" w:type="dxa"/>
          </w:tcPr>
          <w:p>
            <w:pPr>
              <w:pStyle w:val="TableParagraph"/>
              <w:ind w:left="272" w:right="20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0.005</w:t>
            </w:r>
          </w:p>
        </w:tc>
        <w:tc>
          <w:tcPr>
            <w:tcW w:w="665" w:type="dxa"/>
          </w:tcPr>
          <w:p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1.000</w:t>
            </w:r>
          </w:p>
        </w:tc>
      </w:tr>
      <w:tr>
        <w:trPr>
          <w:trHeight w:val="434" w:hRule="atLeast"/>
        </w:trPr>
        <w:tc>
          <w:tcPr>
            <w:tcW w:w="129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N-SURE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G</w:t>
            </w:r>
          </w:p>
        </w:tc>
        <w:tc>
          <w:tcPr>
            <w:tcW w:w="666" w:type="dxa"/>
          </w:tcPr>
          <w:p>
            <w:pPr>
              <w:pStyle w:val="TableParagraph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28.0</w:t>
            </w:r>
          </w:p>
        </w:tc>
        <w:tc>
          <w:tcPr>
            <w:tcW w:w="634" w:type="dxa"/>
          </w:tcPr>
          <w:p>
            <w:pPr>
              <w:pStyle w:val="TableParagraph"/>
              <w:ind w:right="146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27.9</w:t>
            </w:r>
          </w:p>
        </w:tc>
        <w:tc>
          <w:tcPr>
            <w:tcW w:w="561" w:type="dxa"/>
          </w:tcPr>
          <w:p>
            <w:pPr>
              <w:pStyle w:val="TableParagraph"/>
              <w:ind w:left="124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28.1</w:t>
            </w:r>
          </w:p>
        </w:tc>
        <w:tc>
          <w:tcPr>
            <w:tcW w:w="575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0.153</w:t>
            </w:r>
          </w:p>
        </w:tc>
        <w:tc>
          <w:tcPr>
            <w:tcW w:w="448" w:type="dxa"/>
          </w:tcPr>
          <w:p>
            <w:pPr>
              <w:pStyle w:val="TableParagraph"/>
              <w:ind w:left="81"/>
              <w:rPr>
                <w:sz w:val="14"/>
              </w:rPr>
            </w:pPr>
            <w:r>
              <w:rPr>
                <w:color w:val="231F20"/>
                <w:sz w:val="14"/>
              </w:rPr>
              <w:t>28.2</w:t>
            </w:r>
          </w:p>
        </w:tc>
        <w:tc>
          <w:tcPr>
            <w:tcW w:w="493" w:type="dxa"/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27.6</w:t>
            </w:r>
          </w:p>
        </w:tc>
        <w:tc>
          <w:tcPr>
            <w:tcW w:w="690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color w:val="231F20"/>
                <w:sz w:val="14"/>
              </w:rPr>
              <w:t>28.1</w:t>
            </w:r>
          </w:p>
        </w:tc>
        <w:tc>
          <w:tcPr>
            <w:tcW w:w="933" w:type="dxa"/>
          </w:tcPr>
          <w:p>
            <w:pPr>
              <w:pStyle w:val="TableParagraph"/>
              <w:ind w:left="268" w:right="2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0.110</w:t>
            </w:r>
          </w:p>
        </w:tc>
        <w:tc>
          <w:tcPr>
            <w:tcW w:w="1433" w:type="dxa"/>
          </w:tcPr>
          <w:p>
            <w:pPr>
              <w:pStyle w:val="TableParagraph"/>
              <w:spacing w:line="180" w:lineRule="atLeast" w:before="52"/>
              <w:ind w:left="720" w:right="167" w:hanging="432"/>
              <w:rPr>
                <w:sz w:val="14"/>
              </w:rPr>
            </w:pPr>
            <w:r>
              <w:rPr>
                <w:color w:val="231F20"/>
                <w:spacing w:val="-1"/>
                <w:sz w:val="14"/>
              </w:rPr>
              <w:t>N-SURE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36"/>
                <w:sz w:val="14"/>
              </w:rPr>
              <w:t> </w:t>
            </w:r>
            <w:r>
              <w:rPr>
                <w:color w:val="231F20"/>
                <w:sz w:val="14"/>
              </w:rPr>
              <w:t>H</w:t>
            </w:r>
          </w:p>
        </w:tc>
        <w:tc>
          <w:tcPr>
            <w:tcW w:w="709" w:type="dxa"/>
          </w:tcPr>
          <w:p>
            <w:pPr>
              <w:pStyle w:val="TableParagraph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28.0</w:t>
            </w:r>
          </w:p>
        </w:tc>
        <w:tc>
          <w:tcPr>
            <w:tcW w:w="707" w:type="dxa"/>
          </w:tcPr>
          <w:p>
            <w:pPr>
              <w:pStyle w:val="TableParagraph"/>
              <w:ind w:left="234" w:right="15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27.9</w:t>
            </w:r>
          </w:p>
        </w:tc>
        <w:tc>
          <w:tcPr>
            <w:tcW w:w="559" w:type="dxa"/>
          </w:tcPr>
          <w:p>
            <w:pPr>
              <w:pStyle w:val="TableParagraph"/>
              <w:ind w:left="147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28.1</w:t>
            </w:r>
          </w:p>
        </w:tc>
        <w:tc>
          <w:tcPr>
            <w:tcW w:w="568" w:type="dxa"/>
          </w:tcPr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0.149</w:t>
            </w:r>
          </w:p>
        </w:tc>
        <w:tc>
          <w:tcPr>
            <w:tcW w:w="472" w:type="dxa"/>
          </w:tcPr>
          <w:p>
            <w:pPr>
              <w:pStyle w:val="TableParagraph"/>
              <w:ind w:left="99"/>
              <w:rPr>
                <w:sz w:val="14"/>
              </w:rPr>
            </w:pPr>
            <w:r>
              <w:rPr>
                <w:color w:val="231F20"/>
                <w:sz w:val="14"/>
              </w:rPr>
              <w:t>28.3</w:t>
            </w:r>
          </w:p>
        </w:tc>
        <w:tc>
          <w:tcPr>
            <w:tcW w:w="501" w:type="dxa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color w:val="231F20"/>
                <w:sz w:val="14"/>
              </w:rPr>
              <w:t>27.8</w:t>
            </w:r>
          </w:p>
        </w:tc>
        <w:tc>
          <w:tcPr>
            <w:tcW w:w="706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sz w:val="14"/>
              </w:rPr>
              <w:t>28.0</w:t>
            </w:r>
          </w:p>
        </w:tc>
        <w:tc>
          <w:tcPr>
            <w:tcW w:w="867" w:type="dxa"/>
          </w:tcPr>
          <w:p>
            <w:pPr>
              <w:pStyle w:val="TableParagraph"/>
              <w:ind w:left="272" w:right="20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0.115</w:t>
            </w:r>
          </w:p>
        </w:tc>
        <w:tc>
          <w:tcPr>
            <w:tcW w:w="665" w:type="dxa"/>
          </w:tcPr>
          <w:p>
            <w:pPr>
              <w:pStyle w:val="TableParagraph"/>
              <w:ind w:right="2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–0.006</w:t>
            </w:r>
          </w:p>
        </w:tc>
      </w:tr>
      <w:tr>
        <w:trPr>
          <w:trHeight w:val="286" w:hRule="atLeast"/>
        </w:trPr>
        <w:tc>
          <w:tcPr>
            <w:tcW w:w="1291" w:type="dxa"/>
          </w:tcPr>
          <w:p>
            <w:pPr>
              <w:pStyle w:val="TableParagraph"/>
              <w:spacing w:before="78"/>
              <w:rPr>
                <w:sz w:val="14"/>
              </w:rPr>
            </w:pPr>
            <w:r>
              <w:rPr>
                <w:color w:val="231F20"/>
                <w:sz w:val="14"/>
              </w:rPr>
              <w:t>T-N</w:t>
            </w:r>
            <w:r>
              <w:rPr>
                <w:color w:val="231F20"/>
                <w:sz w:val="14"/>
                <w:vertAlign w:val="superscript"/>
              </w:rPr>
              <w:t>+</w:t>
            </w:r>
            <w:r>
              <w:rPr>
                <w:color w:val="231F20"/>
                <w:spacing w:val="-2"/>
                <w:sz w:val="14"/>
                <w:vertAlign w:val="baseline"/>
              </w:rPr>
              <w:t> </w:t>
            </w:r>
            <w:r>
              <w:rPr>
                <w:color w:val="231F20"/>
                <w:sz w:val="14"/>
                <w:vertAlign w:val="baseline"/>
              </w:rPr>
              <w:t>Group</w:t>
            </w:r>
            <w:r>
              <w:rPr>
                <w:color w:val="231F20"/>
                <w:spacing w:val="-2"/>
                <w:sz w:val="14"/>
                <w:vertAlign w:val="baseline"/>
              </w:rPr>
              <w:t> </w:t>
            </w:r>
            <w:r>
              <w:rPr>
                <w:color w:val="231F20"/>
                <w:sz w:val="14"/>
                <w:vertAlign w:val="baseline"/>
              </w:rPr>
              <w:t>I</w:t>
            </w:r>
          </w:p>
        </w:tc>
        <w:tc>
          <w:tcPr>
            <w:tcW w:w="666" w:type="dxa"/>
          </w:tcPr>
          <w:p>
            <w:pPr>
              <w:pStyle w:val="TableParagraph"/>
              <w:spacing w:before="78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29.9</w:t>
            </w:r>
          </w:p>
        </w:tc>
        <w:tc>
          <w:tcPr>
            <w:tcW w:w="634" w:type="dxa"/>
          </w:tcPr>
          <w:p>
            <w:pPr>
              <w:pStyle w:val="TableParagraph"/>
              <w:spacing w:before="78"/>
              <w:ind w:right="14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29.7</w:t>
            </w:r>
          </w:p>
        </w:tc>
        <w:tc>
          <w:tcPr>
            <w:tcW w:w="561" w:type="dxa"/>
          </w:tcPr>
          <w:p>
            <w:pPr>
              <w:pStyle w:val="TableParagraph"/>
              <w:spacing w:before="78"/>
              <w:ind w:left="124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30.1</w:t>
            </w:r>
          </w:p>
        </w:tc>
        <w:tc>
          <w:tcPr>
            <w:tcW w:w="575" w:type="dxa"/>
          </w:tcPr>
          <w:p>
            <w:pPr>
              <w:pStyle w:val="TableParagraph"/>
              <w:spacing w:before="78"/>
              <w:ind w:right="8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0.271</w:t>
            </w:r>
          </w:p>
        </w:tc>
        <w:tc>
          <w:tcPr>
            <w:tcW w:w="448" w:type="dxa"/>
          </w:tcPr>
          <w:p>
            <w:pPr>
              <w:pStyle w:val="TableParagraph"/>
              <w:spacing w:before="78"/>
              <w:ind w:left="81"/>
              <w:rPr>
                <w:sz w:val="14"/>
              </w:rPr>
            </w:pPr>
            <w:r>
              <w:rPr>
                <w:color w:val="231F20"/>
                <w:sz w:val="14"/>
              </w:rPr>
              <w:t>30.2</w:t>
            </w:r>
          </w:p>
        </w:tc>
        <w:tc>
          <w:tcPr>
            <w:tcW w:w="493" w:type="dxa"/>
          </w:tcPr>
          <w:p>
            <w:pPr>
              <w:pStyle w:val="TableParagraph"/>
              <w:spacing w:before="78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29.7</w:t>
            </w:r>
          </w:p>
        </w:tc>
        <w:tc>
          <w:tcPr>
            <w:tcW w:w="690" w:type="dxa"/>
          </w:tcPr>
          <w:p>
            <w:pPr>
              <w:pStyle w:val="TableParagraph"/>
              <w:spacing w:before="78"/>
              <w:ind w:left="124"/>
              <w:rPr>
                <w:sz w:val="14"/>
              </w:rPr>
            </w:pPr>
            <w:r>
              <w:rPr>
                <w:color w:val="231F20"/>
                <w:sz w:val="14"/>
              </w:rPr>
              <w:t>29.9</w:t>
            </w:r>
          </w:p>
        </w:tc>
        <w:tc>
          <w:tcPr>
            <w:tcW w:w="933" w:type="dxa"/>
          </w:tcPr>
          <w:p>
            <w:pPr>
              <w:pStyle w:val="TableParagraph"/>
              <w:spacing w:before="78"/>
              <w:ind w:left="268" w:right="2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0.235</w:t>
            </w:r>
          </w:p>
        </w:tc>
        <w:tc>
          <w:tcPr>
            <w:tcW w:w="1433" w:type="dxa"/>
          </w:tcPr>
          <w:p>
            <w:pPr>
              <w:pStyle w:val="TableParagraph"/>
              <w:spacing w:before="78"/>
              <w:ind w:right="249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T-N</w:t>
            </w:r>
            <w:r>
              <w:rPr>
                <w:color w:val="231F20"/>
                <w:sz w:val="14"/>
                <w:vertAlign w:val="superscript"/>
              </w:rPr>
              <w:t>+</w:t>
            </w:r>
            <w:r>
              <w:rPr>
                <w:color w:val="231F20"/>
                <w:spacing w:val="-2"/>
                <w:sz w:val="14"/>
                <w:vertAlign w:val="baseline"/>
              </w:rPr>
              <w:t> </w:t>
            </w:r>
            <w:r>
              <w:rPr>
                <w:color w:val="231F20"/>
                <w:sz w:val="14"/>
                <w:vertAlign w:val="baseline"/>
              </w:rPr>
              <w:t>Group</w:t>
            </w:r>
            <w:r>
              <w:rPr>
                <w:color w:val="231F20"/>
                <w:spacing w:val="-1"/>
                <w:sz w:val="14"/>
                <w:vertAlign w:val="baseline"/>
              </w:rPr>
              <w:t> </w:t>
            </w:r>
            <w:r>
              <w:rPr>
                <w:color w:val="231F20"/>
                <w:sz w:val="14"/>
                <w:vertAlign w:val="baseline"/>
              </w:rPr>
              <w:t>J</w:t>
            </w:r>
          </w:p>
        </w:tc>
        <w:tc>
          <w:tcPr>
            <w:tcW w:w="709" w:type="dxa"/>
          </w:tcPr>
          <w:p>
            <w:pPr>
              <w:pStyle w:val="TableParagraph"/>
              <w:spacing w:before="78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29.9</w:t>
            </w:r>
          </w:p>
        </w:tc>
        <w:tc>
          <w:tcPr>
            <w:tcW w:w="707" w:type="dxa"/>
          </w:tcPr>
          <w:p>
            <w:pPr>
              <w:pStyle w:val="TableParagraph"/>
              <w:spacing w:before="78"/>
              <w:ind w:left="234" w:right="15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29.8</w:t>
            </w:r>
          </w:p>
        </w:tc>
        <w:tc>
          <w:tcPr>
            <w:tcW w:w="559" w:type="dxa"/>
          </w:tcPr>
          <w:p>
            <w:pPr>
              <w:pStyle w:val="TableParagraph"/>
              <w:spacing w:before="78"/>
              <w:ind w:left="147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30.1</w:t>
            </w:r>
          </w:p>
        </w:tc>
        <w:tc>
          <w:tcPr>
            <w:tcW w:w="568" w:type="dxa"/>
          </w:tcPr>
          <w:p>
            <w:pPr>
              <w:pStyle w:val="TableParagraph"/>
              <w:spacing w:before="78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0.208</w:t>
            </w:r>
          </w:p>
        </w:tc>
        <w:tc>
          <w:tcPr>
            <w:tcW w:w="472" w:type="dxa"/>
          </w:tcPr>
          <w:p>
            <w:pPr>
              <w:pStyle w:val="TableParagraph"/>
              <w:spacing w:before="78"/>
              <w:ind w:left="98"/>
              <w:rPr>
                <w:sz w:val="14"/>
              </w:rPr>
            </w:pPr>
            <w:r>
              <w:rPr>
                <w:color w:val="231F20"/>
                <w:sz w:val="14"/>
              </w:rPr>
              <w:t>30.1</w:t>
            </w:r>
          </w:p>
        </w:tc>
        <w:tc>
          <w:tcPr>
            <w:tcW w:w="501" w:type="dxa"/>
          </w:tcPr>
          <w:p>
            <w:pPr>
              <w:pStyle w:val="TableParagraph"/>
              <w:spacing w:before="78"/>
              <w:ind w:left="87"/>
              <w:rPr>
                <w:sz w:val="14"/>
              </w:rPr>
            </w:pPr>
            <w:r>
              <w:rPr>
                <w:color w:val="231F20"/>
                <w:sz w:val="14"/>
              </w:rPr>
              <w:t>29.8</w:t>
            </w:r>
          </w:p>
        </w:tc>
        <w:tc>
          <w:tcPr>
            <w:tcW w:w="706" w:type="dxa"/>
          </w:tcPr>
          <w:p>
            <w:pPr>
              <w:pStyle w:val="TableParagraph"/>
              <w:spacing w:before="78"/>
              <w:ind w:left="128"/>
              <w:rPr>
                <w:sz w:val="14"/>
              </w:rPr>
            </w:pPr>
            <w:r>
              <w:rPr>
                <w:color w:val="231F20"/>
                <w:sz w:val="14"/>
              </w:rPr>
              <w:t>29.9</w:t>
            </w:r>
          </w:p>
        </w:tc>
        <w:tc>
          <w:tcPr>
            <w:tcW w:w="867" w:type="dxa"/>
          </w:tcPr>
          <w:p>
            <w:pPr>
              <w:pStyle w:val="TableParagraph"/>
              <w:spacing w:before="78"/>
              <w:ind w:left="272" w:right="20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0.180</w:t>
            </w:r>
          </w:p>
        </w:tc>
        <w:tc>
          <w:tcPr>
            <w:tcW w:w="665" w:type="dxa"/>
          </w:tcPr>
          <w:p>
            <w:pPr>
              <w:pStyle w:val="TableParagraph"/>
              <w:spacing w:before="78"/>
              <w:ind w:right="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0.002</w:t>
            </w:r>
          </w:p>
        </w:tc>
      </w:tr>
      <w:tr>
        <w:trPr>
          <w:trHeight w:val="279" w:hRule="atLeast"/>
        </w:trPr>
        <w:tc>
          <w:tcPr>
            <w:tcW w:w="129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T-CB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K</w:t>
            </w:r>
          </w:p>
        </w:tc>
        <w:tc>
          <w:tcPr>
            <w:tcW w:w="666" w:type="dxa"/>
          </w:tcPr>
          <w:p>
            <w:pPr>
              <w:pStyle w:val="TableParagraph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25.9</w:t>
            </w:r>
          </w:p>
        </w:tc>
        <w:tc>
          <w:tcPr>
            <w:tcW w:w="634" w:type="dxa"/>
          </w:tcPr>
          <w:p>
            <w:pPr>
              <w:pStyle w:val="TableParagraph"/>
              <w:ind w:right="14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25.7</w:t>
            </w:r>
          </w:p>
        </w:tc>
        <w:tc>
          <w:tcPr>
            <w:tcW w:w="561" w:type="dxa"/>
          </w:tcPr>
          <w:p>
            <w:pPr>
              <w:pStyle w:val="TableParagraph"/>
              <w:ind w:left="124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26.1</w:t>
            </w:r>
          </w:p>
        </w:tc>
        <w:tc>
          <w:tcPr>
            <w:tcW w:w="575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0.029</w:t>
            </w:r>
          </w:p>
        </w:tc>
        <w:tc>
          <w:tcPr>
            <w:tcW w:w="448" w:type="dxa"/>
          </w:tcPr>
          <w:p>
            <w:pPr>
              <w:pStyle w:val="TableParagraph"/>
              <w:ind w:left="81"/>
              <w:rPr>
                <w:sz w:val="14"/>
              </w:rPr>
            </w:pPr>
            <w:r>
              <w:rPr>
                <w:color w:val="231F20"/>
                <w:sz w:val="14"/>
              </w:rPr>
              <w:t>25.9</w:t>
            </w:r>
          </w:p>
        </w:tc>
        <w:tc>
          <w:tcPr>
            <w:tcW w:w="493" w:type="dxa"/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25.8</w:t>
            </w:r>
          </w:p>
        </w:tc>
        <w:tc>
          <w:tcPr>
            <w:tcW w:w="690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color w:val="231F20"/>
                <w:sz w:val="14"/>
              </w:rPr>
              <w:t>25.9</w:t>
            </w:r>
          </w:p>
        </w:tc>
        <w:tc>
          <w:tcPr>
            <w:tcW w:w="933" w:type="dxa"/>
          </w:tcPr>
          <w:p>
            <w:pPr>
              <w:pStyle w:val="TableParagraph"/>
              <w:ind w:left="268" w:right="2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0.025</w:t>
            </w:r>
          </w:p>
        </w:tc>
        <w:tc>
          <w:tcPr>
            <w:tcW w:w="1433" w:type="dxa"/>
          </w:tcPr>
          <w:p>
            <w:pPr>
              <w:pStyle w:val="TableParagraph"/>
              <w:ind w:right="22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T-CB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L</w:t>
            </w:r>
          </w:p>
        </w:tc>
        <w:tc>
          <w:tcPr>
            <w:tcW w:w="709" w:type="dxa"/>
          </w:tcPr>
          <w:p>
            <w:pPr>
              <w:pStyle w:val="TableParagraph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25.9</w:t>
            </w:r>
          </w:p>
        </w:tc>
        <w:tc>
          <w:tcPr>
            <w:tcW w:w="707" w:type="dxa"/>
          </w:tcPr>
          <w:p>
            <w:pPr>
              <w:pStyle w:val="TableParagraph"/>
              <w:ind w:left="234" w:right="15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25.7</w:t>
            </w:r>
          </w:p>
        </w:tc>
        <w:tc>
          <w:tcPr>
            <w:tcW w:w="559" w:type="dxa"/>
          </w:tcPr>
          <w:p>
            <w:pPr>
              <w:pStyle w:val="TableParagraph"/>
              <w:ind w:left="147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26.1</w:t>
            </w:r>
          </w:p>
        </w:tc>
        <w:tc>
          <w:tcPr>
            <w:tcW w:w="568" w:type="dxa"/>
          </w:tcPr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0.064</w:t>
            </w:r>
          </w:p>
        </w:tc>
        <w:tc>
          <w:tcPr>
            <w:tcW w:w="472" w:type="dxa"/>
          </w:tcPr>
          <w:p>
            <w:pPr>
              <w:pStyle w:val="TableParagraph"/>
              <w:ind w:left="99"/>
              <w:rPr>
                <w:sz w:val="14"/>
              </w:rPr>
            </w:pPr>
            <w:r>
              <w:rPr>
                <w:color w:val="231F20"/>
                <w:sz w:val="14"/>
              </w:rPr>
              <w:t>25.9</w:t>
            </w:r>
          </w:p>
        </w:tc>
        <w:tc>
          <w:tcPr>
            <w:tcW w:w="501" w:type="dxa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color w:val="231F20"/>
                <w:sz w:val="14"/>
              </w:rPr>
              <w:t>25.8</w:t>
            </w:r>
          </w:p>
        </w:tc>
        <w:tc>
          <w:tcPr>
            <w:tcW w:w="706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sz w:val="14"/>
              </w:rPr>
              <w:t>25.9</w:t>
            </w:r>
          </w:p>
        </w:tc>
        <w:tc>
          <w:tcPr>
            <w:tcW w:w="867" w:type="dxa"/>
          </w:tcPr>
          <w:p>
            <w:pPr>
              <w:pStyle w:val="TableParagraph"/>
              <w:ind w:left="272" w:right="20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0.055</w:t>
            </w:r>
          </w:p>
        </w:tc>
        <w:tc>
          <w:tcPr>
            <w:tcW w:w="665" w:type="dxa"/>
          </w:tcPr>
          <w:p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</w:tr>
      <w:tr>
        <w:trPr>
          <w:trHeight w:val="264" w:hRule="atLeast"/>
        </w:trPr>
        <w:tc>
          <w:tcPr>
            <w:tcW w:w="129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T-NB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M</w:t>
            </w:r>
          </w:p>
        </w:tc>
        <w:tc>
          <w:tcPr>
            <w:tcW w:w="666" w:type="dxa"/>
          </w:tcPr>
          <w:p>
            <w:pPr>
              <w:pStyle w:val="TableParagraph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26.1</w:t>
            </w:r>
          </w:p>
        </w:tc>
        <w:tc>
          <w:tcPr>
            <w:tcW w:w="634" w:type="dxa"/>
          </w:tcPr>
          <w:p>
            <w:pPr>
              <w:pStyle w:val="TableParagraph"/>
              <w:ind w:right="14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26.0</w:t>
            </w:r>
          </w:p>
        </w:tc>
        <w:tc>
          <w:tcPr>
            <w:tcW w:w="561" w:type="dxa"/>
          </w:tcPr>
          <w:p>
            <w:pPr>
              <w:pStyle w:val="TableParagraph"/>
              <w:ind w:left="125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26.2</w:t>
            </w:r>
          </w:p>
        </w:tc>
        <w:tc>
          <w:tcPr>
            <w:tcW w:w="575" w:type="dxa"/>
          </w:tcPr>
          <w:p>
            <w:pPr>
              <w:pStyle w:val="TableParagraph"/>
              <w:ind w:right="80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0.165</w:t>
            </w:r>
          </w:p>
        </w:tc>
        <w:tc>
          <w:tcPr>
            <w:tcW w:w="448" w:type="dxa"/>
          </w:tcPr>
          <w:p>
            <w:pPr>
              <w:pStyle w:val="TableParagraph"/>
              <w:ind w:left="81"/>
              <w:rPr>
                <w:sz w:val="14"/>
              </w:rPr>
            </w:pPr>
            <w:r>
              <w:rPr>
                <w:color w:val="231F20"/>
                <w:sz w:val="14"/>
              </w:rPr>
              <w:t>26.5</w:t>
            </w:r>
          </w:p>
        </w:tc>
        <w:tc>
          <w:tcPr>
            <w:tcW w:w="493" w:type="dxa"/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25.9</w:t>
            </w:r>
          </w:p>
        </w:tc>
        <w:tc>
          <w:tcPr>
            <w:tcW w:w="690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color w:val="231F20"/>
                <w:sz w:val="14"/>
              </w:rPr>
              <w:t>26.1</w:t>
            </w:r>
          </w:p>
        </w:tc>
        <w:tc>
          <w:tcPr>
            <w:tcW w:w="933" w:type="dxa"/>
          </w:tcPr>
          <w:p>
            <w:pPr>
              <w:pStyle w:val="TableParagraph"/>
              <w:ind w:left="268" w:right="27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0.127</w:t>
            </w:r>
          </w:p>
        </w:tc>
        <w:tc>
          <w:tcPr>
            <w:tcW w:w="1433" w:type="dxa"/>
          </w:tcPr>
          <w:p>
            <w:pPr>
              <w:pStyle w:val="TableParagraph"/>
              <w:ind w:right="21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T-NB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N</w:t>
            </w:r>
          </w:p>
        </w:tc>
        <w:tc>
          <w:tcPr>
            <w:tcW w:w="709" w:type="dxa"/>
          </w:tcPr>
          <w:p>
            <w:pPr>
              <w:pStyle w:val="TableParagraph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26.1</w:t>
            </w:r>
          </w:p>
        </w:tc>
        <w:tc>
          <w:tcPr>
            <w:tcW w:w="707" w:type="dxa"/>
          </w:tcPr>
          <w:p>
            <w:pPr>
              <w:pStyle w:val="TableParagraph"/>
              <w:ind w:left="234" w:right="15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26.0</w:t>
            </w:r>
          </w:p>
        </w:tc>
        <w:tc>
          <w:tcPr>
            <w:tcW w:w="559" w:type="dxa"/>
          </w:tcPr>
          <w:p>
            <w:pPr>
              <w:pStyle w:val="TableParagraph"/>
              <w:ind w:left="147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26.2</w:t>
            </w:r>
          </w:p>
        </w:tc>
        <w:tc>
          <w:tcPr>
            <w:tcW w:w="568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0.187</w:t>
            </w:r>
          </w:p>
        </w:tc>
        <w:tc>
          <w:tcPr>
            <w:tcW w:w="472" w:type="dxa"/>
          </w:tcPr>
          <w:p>
            <w:pPr>
              <w:pStyle w:val="TableParagraph"/>
              <w:ind w:left="99"/>
              <w:rPr>
                <w:sz w:val="14"/>
              </w:rPr>
            </w:pPr>
            <w:r>
              <w:rPr>
                <w:color w:val="231F20"/>
                <w:sz w:val="14"/>
              </w:rPr>
              <w:t>26.4</w:t>
            </w:r>
          </w:p>
        </w:tc>
        <w:tc>
          <w:tcPr>
            <w:tcW w:w="501" w:type="dxa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color w:val="231F20"/>
                <w:sz w:val="14"/>
              </w:rPr>
              <w:t>25.7</w:t>
            </w:r>
          </w:p>
        </w:tc>
        <w:tc>
          <w:tcPr>
            <w:tcW w:w="706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sz w:val="14"/>
              </w:rPr>
              <w:t>26.1</w:t>
            </w:r>
          </w:p>
        </w:tc>
        <w:tc>
          <w:tcPr>
            <w:tcW w:w="867" w:type="dxa"/>
          </w:tcPr>
          <w:p>
            <w:pPr>
              <w:pStyle w:val="TableParagraph"/>
              <w:ind w:left="272" w:right="20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0.141</w:t>
            </w:r>
          </w:p>
        </w:tc>
        <w:tc>
          <w:tcPr>
            <w:tcW w:w="665" w:type="dxa"/>
          </w:tcPr>
          <w:p>
            <w:pPr>
              <w:pStyle w:val="TableParagraph"/>
              <w:ind w:right="62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0.001</w:t>
            </w:r>
          </w:p>
        </w:tc>
      </w:tr>
      <w:tr>
        <w:trPr>
          <w:trHeight w:val="295" w:hRule="atLeast"/>
        </w:trPr>
        <w:tc>
          <w:tcPr>
            <w:tcW w:w="1291" w:type="dxa"/>
          </w:tcPr>
          <w:p>
            <w:pPr>
              <w:pStyle w:val="TableParagraph"/>
              <w:spacing w:before="87"/>
              <w:rPr>
                <w:sz w:val="14"/>
              </w:rPr>
            </w:pPr>
            <w:r>
              <w:rPr>
                <w:color w:val="231F20"/>
                <w:sz w:val="14"/>
              </w:rPr>
              <w:t>FOR</w:t>
            </w:r>
            <w:r>
              <w:rPr>
                <w:color w:val="231F20"/>
                <w:sz w:val="14"/>
                <w:vertAlign w:val="superscript"/>
              </w:rPr>
              <w:t>+</w:t>
            </w:r>
            <w:r>
              <w:rPr>
                <w:color w:val="231F20"/>
                <w:sz w:val="14"/>
                <w:vertAlign w:val="baseline"/>
              </w:rPr>
              <w:t> Group</w:t>
            </w:r>
            <w:r>
              <w:rPr>
                <w:color w:val="231F20"/>
                <w:spacing w:val="1"/>
                <w:sz w:val="14"/>
                <w:vertAlign w:val="baseline"/>
              </w:rPr>
              <w:t> </w:t>
            </w:r>
            <w:r>
              <w:rPr>
                <w:color w:val="231F20"/>
                <w:sz w:val="14"/>
                <w:vertAlign w:val="baseline"/>
              </w:rPr>
              <w:t>O</w:t>
            </w:r>
          </w:p>
        </w:tc>
        <w:tc>
          <w:tcPr>
            <w:tcW w:w="666" w:type="dxa"/>
          </w:tcPr>
          <w:p>
            <w:pPr>
              <w:pStyle w:val="TableParagraph"/>
              <w:spacing w:before="87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30.0</w:t>
            </w:r>
          </w:p>
        </w:tc>
        <w:tc>
          <w:tcPr>
            <w:tcW w:w="634" w:type="dxa"/>
          </w:tcPr>
          <w:p>
            <w:pPr>
              <w:pStyle w:val="TableParagraph"/>
              <w:spacing w:before="87"/>
              <w:ind w:right="14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29.8</w:t>
            </w:r>
          </w:p>
        </w:tc>
        <w:tc>
          <w:tcPr>
            <w:tcW w:w="561" w:type="dxa"/>
          </w:tcPr>
          <w:p>
            <w:pPr>
              <w:pStyle w:val="TableParagraph"/>
              <w:spacing w:before="87"/>
              <w:ind w:left="124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30.2</w:t>
            </w:r>
          </w:p>
        </w:tc>
        <w:tc>
          <w:tcPr>
            <w:tcW w:w="575" w:type="dxa"/>
          </w:tcPr>
          <w:p>
            <w:pPr>
              <w:pStyle w:val="TableParagraph"/>
              <w:spacing w:before="87"/>
              <w:ind w:right="8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0.085</w:t>
            </w:r>
          </w:p>
        </w:tc>
        <w:tc>
          <w:tcPr>
            <w:tcW w:w="448" w:type="dxa"/>
          </w:tcPr>
          <w:p>
            <w:pPr>
              <w:pStyle w:val="TableParagraph"/>
              <w:spacing w:before="87"/>
              <w:ind w:left="81"/>
              <w:rPr>
                <w:sz w:val="14"/>
              </w:rPr>
            </w:pPr>
            <w:r>
              <w:rPr>
                <w:color w:val="231F20"/>
                <w:sz w:val="14"/>
              </w:rPr>
              <w:t>30.1</w:t>
            </w:r>
          </w:p>
        </w:tc>
        <w:tc>
          <w:tcPr>
            <w:tcW w:w="493" w:type="dxa"/>
          </w:tcPr>
          <w:p>
            <w:pPr>
              <w:pStyle w:val="TableParagraph"/>
              <w:spacing w:before="87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29.9</w:t>
            </w:r>
          </w:p>
        </w:tc>
        <w:tc>
          <w:tcPr>
            <w:tcW w:w="690" w:type="dxa"/>
          </w:tcPr>
          <w:p>
            <w:pPr>
              <w:pStyle w:val="TableParagraph"/>
              <w:spacing w:before="87"/>
              <w:ind w:left="124"/>
              <w:rPr>
                <w:sz w:val="14"/>
              </w:rPr>
            </w:pPr>
            <w:r>
              <w:rPr>
                <w:color w:val="231F20"/>
                <w:sz w:val="14"/>
              </w:rPr>
              <w:t>30.0</w:t>
            </w:r>
          </w:p>
        </w:tc>
        <w:tc>
          <w:tcPr>
            <w:tcW w:w="933" w:type="dxa"/>
          </w:tcPr>
          <w:p>
            <w:pPr>
              <w:pStyle w:val="TableParagraph"/>
              <w:spacing w:before="87"/>
              <w:ind w:left="268" w:right="2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0.050</w:t>
            </w:r>
          </w:p>
        </w:tc>
        <w:tc>
          <w:tcPr>
            <w:tcW w:w="1433" w:type="dxa"/>
          </w:tcPr>
          <w:p>
            <w:pPr>
              <w:pStyle w:val="TableParagraph"/>
              <w:spacing w:before="87"/>
              <w:ind w:right="20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FOR</w:t>
            </w:r>
            <w:r>
              <w:rPr>
                <w:color w:val="231F20"/>
                <w:sz w:val="14"/>
                <w:vertAlign w:val="superscript"/>
              </w:rPr>
              <w:t>+</w:t>
            </w:r>
            <w:r>
              <w:rPr>
                <w:color w:val="231F20"/>
                <w:spacing w:val="1"/>
                <w:sz w:val="14"/>
                <w:vertAlign w:val="baseline"/>
              </w:rPr>
              <w:t> </w:t>
            </w:r>
            <w:r>
              <w:rPr>
                <w:color w:val="231F20"/>
                <w:sz w:val="14"/>
                <w:vertAlign w:val="baseline"/>
              </w:rPr>
              <w:t>Group</w:t>
            </w:r>
            <w:r>
              <w:rPr>
                <w:color w:val="231F20"/>
                <w:spacing w:val="1"/>
                <w:sz w:val="14"/>
                <w:vertAlign w:val="baseline"/>
              </w:rPr>
              <w:t> </w:t>
            </w:r>
            <w:r>
              <w:rPr>
                <w:color w:val="231F20"/>
                <w:sz w:val="14"/>
                <w:vertAlign w:val="baseline"/>
              </w:rPr>
              <w:t>P</w:t>
            </w:r>
          </w:p>
        </w:tc>
        <w:tc>
          <w:tcPr>
            <w:tcW w:w="709" w:type="dxa"/>
          </w:tcPr>
          <w:p>
            <w:pPr>
              <w:pStyle w:val="TableParagraph"/>
              <w:spacing w:before="87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30.0</w:t>
            </w:r>
          </w:p>
        </w:tc>
        <w:tc>
          <w:tcPr>
            <w:tcW w:w="707" w:type="dxa"/>
          </w:tcPr>
          <w:p>
            <w:pPr>
              <w:pStyle w:val="TableParagraph"/>
              <w:spacing w:before="87"/>
              <w:ind w:left="234" w:right="15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29.8</w:t>
            </w:r>
          </w:p>
        </w:tc>
        <w:tc>
          <w:tcPr>
            <w:tcW w:w="559" w:type="dxa"/>
          </w:tcPr>
          <w:p>
            <w:pPr>
              <w:pStyle w:val="TableParagraph"/>
              <w:spacing w:before="87"/>
              <w:ind w:left="147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30.1</w:t>
            </w:r>
          </w:p>
        </w:tc>
        <w:tc>
          <w:tcPr>
            <w:tcW w:w="568" w:type="dxa"/>
          </w:tcPr>
          <w:p>
            <w:pPr>
              <w:pStyle w:val="TableParagraph"/>
              <w:spacing w:before="87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0.143</w:t>
            </w:r>
          </w:p>
        </w:tc>
        <w:tc>
          <w:tcPr>
            <w:tcW w:w="472" w:type="dxa"/>
          </w:tcPr>
          <w:p>
            <w:pPr>
              <w:pStyle w:val="TableParagraph"/>
              <w:spacing w:before="87"/>
              <w:ind w:left="98"/>
              <w:rPr>
                <w:sz w:val="14"/>
              </w:rPr>
            </w:pPr>
            <w:r>
              <w:rPr>
                <w:color w:val="231F20"/>
                <w:sz w:val="14"/>
              </w:rPr>
              <w:t>30.1</w:t>
            </w:r>
          </w:p>
        </w:tc>
        <w:tc>
          <w:tcPr>
            <w:tcW w:w="501" w:type="dxa"/>
          </w:tcPr>
          <w:p>
            <w:pPr>
              <w:pStyle w:val="TableParagraph"/>
              <w:spacing w:before="87"/>
              <w:ind w:left="87"/>
              <w:rPr>
                <w:sz w:val="14"/>
              </w:rPr>
            </w:pPr>
            <w:r>
              <w:rPr>
                <w:color w:val="231F20"/>
                <w:sz w:val="14"/>
              </w:rPr>
              <w:t>29.8</w:t>
            </w:r>
          </w:p>
        </w:tc>
        <w:tc>
          <w:tcPr>
            <w:tcW w:w="706" w:type="dxa"/>
          </w:tcPr>
          <w:p>
            <w:pPr>
              <w:pStyle w:val="TableParagraph"/>
              <w:spacing w:before="87"/>
              <w:ind w:left="128"/>
              <w:rPr>
                <w:sz w:val="14"/>
              </w:rPr>
            </w:pPr>
            <w:r>
              <w:rPr>
                <w:color w:val="231F20"/>
                <w:sz w:val="14"/>
              </w:rPr>
              <w:t>30.0</w:t>
            </w:r>
          </w:p>
        </w:tc>
        <w:tc>
          <w:tcPr>
            <w:tcW w:w="867" w:type="dxa"/>
          </w:tcPr>
          <w:p>
            <w:pPr>
              <w:pStyle w:val="TableParagraph"/>
              <w:spacing w:before="87"/>
              <w:ind w:left="272" w:right="20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0.110</w:t>
            </w:r>
          </w:p>
        </w:tc>
        <w:tc>
          <w:tcPr>
            <w:tcW w:w="665" w:type="dxa"/>
          </w:tcPr>
          <w:p>
            <w:pPr>
              <w:pStyle w:val="TableParagraph"/>
              <w:spacing w:before="87"/>
              <w:ind w:right="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0.031</w:t>
            </w:r>
          </w:p>
        </w:tc>
      </w:tr>
      <w:tr>
        <w:trPr>
          <w:trHeight w:val="280" w:hRule="atLeast"/>
        </w:trPr>
        <w:tc>
          <w:tcPr>
            <w:tcW w:w="129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CR-9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Q</w:t>
            </w:r>
          </w:p>
        </w:tc>
        <w:tc>
          <w:tcPr>
            <w:tcW w:w="666" w:type="dxa"/>
          </w:tcPr>
          <w:p>
            <w:pPr>
              <w:pStyle w:val="TableParagraph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29.4</w:t>
            </w:r>
          </w:p>
        </w:tc>
        <w:tc>
          <w:tcPr>
            <w:tcW w:w="634" w:type="dxa"/>
          </w:tcPr>
          <w:p>
            <w:pPr>
              <w:pStyle w:val="TableParagraph"/>
              <w:ind w:right="14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29.2</w:t>
            </w:r>
          </w:p>
        </w:tc>
        <w:tc>
          <w:tcPr>
            <w:tcW w:w="561" w:type="dxa"/>
          </w:tcPr>
          <w:p>
            <w:pPr>
              <w:pStyle w:val="TableParagraph"/>
              <w:ind w:left="125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29.6</w:t>
            </w:r>
          </w:p>
        </w:tc>
        <w:tc>
          <w:tcPr>
            <w:tcW w:w="575" w:type="dxa"/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  <w:tc>
          <w:tcPr>
            <w:tcW w:w="448" w:type="dxa"/>
          </w:tcPr>
          <w:p>
            <w:pPr>
              <w:pStyle w:val="TableParagraph"/>
              <w:ind w:left="81"/>
              <w:rPr>
                <w:sz w:val="14"/>
              </w:rPr>
            </w:pPr>
            <w:r>
              <w:rPr>
                <w:color w:val="231F20"/>
                <w:sz w:val="14"/>
              </w:rPr>
              <w:t>29.4</w:t>
            </w:r>
          </w:p>
        </w:tc>
        <w:tc>
          <w:tcPr>
            <w:tcW w:w="493" w:type="dxa"/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29.4</w:t>
            </w:r>
          </w:p>
        </w:tc>
        <w:tc>
          <w:tcPr>
            <w:tcW w:w="690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color w:val="231F20"/>
                <w:sz w:val="14"/>
              </w:rPr>
              <w:t>29.4</w:t>
            </w:r>
          </w:p>
        </w:tc>
        <w:tc>
          <w:tcPr>
            <w:tcW w:w="933" w:type="dxa"/>
          </w:tcPr>
          <w:p>
            <w:pPr>
              <w:pStyle w:val="TableParagraph"/>
              <w:ind w:left="268" w:right="2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  <w:tc>
          <w:tcPr>
            <w:tcW w:w="1433" w:type="dxa"/>
          </w:tcPr>
          <w:p>
            <w:pPr>
              <w:pStyle w:val="TableParagraph"/>
              <w:ind w:right="212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CR-9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R</w:t>
            </w:r>
          </w:p>
        </w:tc>
        <w:tc>
          <w:tcPr>
            <w:tcW w:w="709" w:type="dxa"/>
          </w:tcPr>
          <w:p>
            <w:pPr>
              <w:pStyle w:val="TableParagraph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29.3</w:t>
            </w:r>
          </w:p>
        </w:tc>
        <w:tc>
          <w:tcPr>
            <w:tcW w:w="707" w:type="dxa"/>
          </w:tcPr>
          <w:p>
            <w:pPr>
              <w:pStyle w:val="TableParagraph"/>
              <w:ind w:left="234" w:right="15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29.1</w:t>
            </w:r>
          </w:p>
        </w:tc>
        <w:tc>
          <w:tcPr>
            <w:tcW w:w="559" w:type="dxa"/>
          </w:tcPr>
          <w:p>
            <w:pPr>
              <w:pStyle w:val="TableParagraph"/>
              <w:ind w:left="147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29.6</w:t>
            </w:r>
          </w:p>
        </w:tc>
        <w:tc>
          <w:tcPr>
            <w:tcW w:w="568" w:type="dxa"/>
          </w:tcPr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  <w:tc>
          <w:tcPr>
            <w:tcW w:w="472" w:type="dxa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color w:val="231F20"/>
                <w:sz w:val="14"/>
              </w:rPr>
              <w:t>29.3</w:t>
            </w:r>
          </w:p>
        </w:tc>
        <w:tc>
          <w:tcPr>
            <w:tcW w:w="501" w:type="dxa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color w:val="231F20"/>
                <w:sz w:val="14"/>
              </w:rPr>
              <w:t>29.3</w:t>
            </w:r>
          </w:p>
        </w:tc>
        <w:tc>
          <w:tcPr>
            <w:tcW w:w="706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sz w:val="14"/>
              </w:rPr>
              <w:t>29.3</w:t>
            </w:r>
          </w:p>
        </w:tc>
        <w:tc>
          <w:tcPr>
            <w:tcW w:w="867" w:type="dxa"/>
          </w:tcPr>
          <w:p>
            <w:pPr>
              <w:pStyle w:val="TableParagraph"/>
              <w:ind w:left="272" w:right="20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  <w:tc>
          <w:tcPr>
            <w:tcW w:w="665" w:type="dxa"/>
          </w:tcPr>
          <w:p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0.000</w:t>
            </w:r>
          </w:p>
        </w:tc>
      </w:tr>
      <w:tr>
        <w:trPr>
          <w:trHeight w:val="280" w:hRule="atLeast"/>
        </w:trPr>
        <w:tc>
          <w:tcPr>
            <w:tcW w:w="129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DAP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z w:val="14"/>
              </w:rPr>
              <w:t>S</w:t>
            </w:r>
          </w:p>
        </w:tc>
        <w:tc>
          <w:tcPr>
            <w:tcW w:w="666" w:type="dxa"/>
          </w:tcPr>
          <w:p>
            <w:pPr>
              <w:pStyle w:val="TableParagraph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17.6</w:t>
            </w:r>
          </w:p>
        </w:tc>
        <w:tc>
          <w:tcPr>
            <w:tcW w:w="634" w:type="dxa"/>
          </w:tcPr>
          <w:p>
            <w:pPr>
              <w:pStyle w:val="TableParagraph"/>
              <w:ind w:right="14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17.5</w:t>
            </w:r>
          </w:p>
        </w:tc>
        <w:tc>
          <w:tcPr>
            <w:tcW w:w="561" w:type="dxa"/>
          </w:tcPr>
          <w:p>
            <w:pPr>
              <w:pStyle w:val="TableParagraph"/>
              <w:ind w:left="125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17.7</w:t>
            </w:r>
          </w:p>
        </w:tc>
        <w:tc>
          <w:tcPr>
            <w:tcW w:w="575" w:type="dxa"/>
          </w:tcPr>
          <w:p>
            <w:pPr>
              <w:pStyle w:val="TableParagraph"/>
              <w:ind w:right="80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0.269</w:t>
            </w:r>
          </w:p>
        </w:tc>
        <w:tc>
          <w:tcPr>
            <w:tcW w:w="448" w:type="dxa"/>
          </w:tcPr>
          <w:p>
            <w:pPr>
              <w:pStyle w:val="TableParagraph"/>
              <w:ind w:left="81"/>
              <w:rPr>
                <w:sz w:val="14"/>
              </w:rPr>
            </w:pPr>
            <w:r>
              <w:rPr>
                <w:color w:val="231F20"/>
                <w:sz w:val="14"/>
              </w:rPr>
              <w:t>18.1</w:t>
            </w:r>
          </w:p>
        </w:tc>
        <w:tc>
          <w:tcPr>
            <w:tcW w:w="493" w:type="dxa"/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17.2</w:t>
            </w:r>
          </w:p>
        </w:tc>
        <w:tc>
          <w:tcPr>
            <w:tcW w:w="690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color w:val="231F20"/>
                <w:sz w:val="14"/>
              </w:rPr>
              <w:t>17.5</w:t>
            </w:r>
          </w:p>
        </w:tc>
        <w:tc>
          <w:tcPr>
            <w:tcW w:w="933" w:type="dxa"/>
          </w:tcPr>
          <w:p>
            <w:pPr>
              <w:pStyle w:val="TableParagraph"/>
              <w:ind w:left="268" w:right="2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0.184</w:t>
            </w:r>
          </w:p>
        </w:tc>
        <w:tc>
          <w:tcPr>
            <w:tcW w:w="1433" w:type="dxa"/>
          </w:tcPr>
          <w:p>
            <w:pPr>
              <w:pStyle w:val="TableParagraph"/>
              <w:ind w:right="180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DAP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Group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T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z w:val="14"/>
              </w:rPr>
              <w:t>T</w:t>
            </w:r>
          </w:p>
        </w:tc>
        <w:tc>
          <w:tcPr>
            <w:tcW w:w="709" w:type="dxa"/>
          </w:tcPr>
          <w:p>
            <w:pPr>
              <w:pStyle w:val="TableParagraph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17.5</w:t>
            </w:r>
          </w:p>
        </w:tc>
        <w:tc>
          <w:tcPr>
            <w:tcW w:w="707" w:type="dxa"/>
          </w:tcPr>
          <w:p>
            <w:pPr>
              <w:pStyle w:val="TableParagraph"/>
              <w:ind w:left="234" w:right="15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17.4</w:t>
            </w:r>
          </w:p>
        </w:tc>
        <w:tc>
          <w:tcPr>
            <w:tcW w:w="559" w:type="dxa"/>
          </w:tcPr>
          <w:p>
            <w:pPr>
              <w:pStyle w:val="TableParagraph"/>
              <w:ind w:left="147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17.7</w:t>
            </w:r>
          </w:p>
        </w:tc>
        <w:tc>
          <w:tcPr>
            <w:tcW w:w="568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0.284</w:t>
            </w:r>
          </w:p>
        </w:tc>
        <w:tc>
          <w:tcPr>
            <w:tcW w:w="472" w:type="dxa"/>
          </w:tcPr>
          <w:p>
            <w:pPr>
              <w:pStyle w:val="TableParagraph"/>
              <w:ind w:left="99"/>
              <w:rPr>
                <w:sz w:val="14"/>
              </w:rPr>
            </w:pPr>
            <w:r>
              <w:rPr>
                <w:color w:val="231F20"/>
                <w:sz w:val="14"/>
              </w:rPr>
              <w:t>18.1</w:t>
            </w:r>
          </w:p>
        </w:tc>
        <w:tc>
          <w:tcPr>
            <w:tcW w:w="501" w:type="dxa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color w:val="231F20"/>
                <w:sz w:val="14"/>
              </w:rPr>
              <w:t>17.3</w:t>
            </w:r>
          </w:p>
        </w:tc>
        <w:tc>
          <w:tcPr>
            <w:tcW w:w="706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sz w:val="14"/>
              </w:rPr>
              <w:t>17.5</w:t>
            </w:r>
          </w:p>
        </w:tc>
        <w:tc>
          <w:tcPr>
            <w:tcW w:w="867" w:type="dxa"/>
          </w:tcPr>
          <w:p>
            <w:pPr>
              <w:pStyle w:val="TableParagraph"/>
              <w:ind w:left="272" w:right="20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0.200</w:t>
            </w:r>
          </w:p>
        </w:tc>
        <w:tc>
          <w:tcPr>
            <w:tcW w:w="665" w:type="dxa"/>
          </w:tcPr>
          <w:p>
            <w:pPr>
              <w:pStyle w:val="TableParagraph"/>
              <w:ind w:right="62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0.013</w:t>
            </w:r>
          </w:p>
        </w:tc>
      </w:tr>
      <w:tr>
        <w:trPr>
          <w:trHeight w:val="280" w:hRule="atLeast"/>
        </w:trPr>
        <w:tc>
          <w:tcPr>
            <w:tcW w:w="129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MAP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Group U</w:t>
            </w:r>
          </w:p>
        </w:tc>
        <w:tc>
          <w:tcPr>
            <w:tcW w:w="666" w:type="dxa"/>
          </w:tcPr>
          <w:p>
            <w:pPr>
              <w:pStyle w:val="TableParagraph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10.9</w:t>
            </w:r>
          </w:p>
        </w:tc>
        <w:tc>
          <w:tcPr>
            <w:tcW w:w="634" w:type="dxa"/>
          </w:tcPr>
          <w:p>
            <w:pPr>
              <w:pStyle w:val="TableParagraph"/>
              <w:ind w:right="14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10.8</w:t>
            </w:r>
          </w:p>
        </w:tc>
        <w:tc>
          <w:tcPr>
            <w:tcW w:w="561" w:type="dxa"/>
          </w:tcPr>
          <w:p>
            <w:pPr>
              <w:pStyle w:val="TableParagraph"/>
              <w:ind w:left="125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11.1</w:t>
            </w:r>
          </w:p>
        </w:tc>
        <w:tc>
          <w:tcPr>
            <w:tcW w:w="575" w:type="dxa"/>
          </w:tcPr>
          <w:p>
            <w:pPr>
              <w:pStyle w:val="TableParagraph"/>
              <w:ind w:right="80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0.178</w:t>
            </w:r>
          </w:p>
        </w:tc>
        <w:tc>
          <w:tcPr>
            <w:tcW w:w="448" w:type="dxa"/>
          </w:tcPr>
          <w:p>
            <w:pPr>
              <w:pStyle w:val="TableParagraph"/>
              <w:ind w:left="87"/>
              <w:rPr>
                <w:sz w:val="14"/>
              </w:rPr>
            </w:pPr>
            <w:r>
              <w:rPr>
                <w:color w:val="231F20"/>
                <w:sz w:val="14"/>
              </w:rPr>
              <w:t>11.1</w:t>
            </w:r>
          </w:p>
        </w:tc>
        <w:tc>
          <w:tcPr>
            <w:tcW w:w="493" w:type="dxa"/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10.7</w:t>
            </w:r>
          </w:p>
        </w:tc>
        <w:tc>
          <w:tcPr>
            <w:tcW w:w="690" w:type="dxa"/>
          </w:tcPr>
          <w:p>
            <w:pPr>
              <w:pStyle w:val="TableParagraph"/>
              <w:ind w:left="130"/>
              <w:rPr>
                <w:sz w:val="14"/>
              </w:rPr>
            </w:pPr>
            <w:r>
              <w:rPr>
                <w:color w:val="231F20"/>
                <w:sz w:val="14"/>
              </w:rPr>
              <w:t>11.0</w:t>
            </w:r>
          </w:p>
        </w:tc>
        <w:tc>
          <w:tcPr>
            <w:tcW w:w="933" w:type="dxa"/>
          </w:tcPr>
          <w:p>
            <w:pPr>
              <w:pStyle w:val="TableParagraph"/>
              <w:ind w:left="268" w:right="27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0.132</w:t>
            </w:r>
          </w:p>
        </w:tc>
        <w:tc>
          <w:tcPr>
            <w:tcW w:w="1433" w:type="dxa"/>
          </w:tcPr>
          <w:p>
            <w:pPr>
              <w:pStyle w:val="TableParagraph"/>
              <w:ind w:right="22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MAP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Group V</w:t>
            </w:r>
          </w:p>
        </w:tc>
        <w:tc>
          <w:tcPr>
            <w:tcW w:w="709" w:type="dxa"/>
          </w:tcPr>
          <w:p>
            <w:pPr>
              <w:pStyle w:val="TableParagraph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11.0</w:t>
            </w:r>
          </w:p>
        </w:tc>
        <w:tc>
          <w:tcPr>
            <w:tcW w:w="707" w:type="dxa"/>
          </w:tcPr>
          <w:p>
            <w:pPr>
              <w:pStyle w:val="TableParagraph"/>
              <w:ind w:left="234" w:right="15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10.8</w:t>
            </w:r>
          </w:p>
        </w:tc>
        <w:tc>
          <w:tcPr>
            <w:tcW w:w="559" w:type="dxa"/>
          </w:tcPr>
          <w:p>
            <w:pPr>
              <w:pStyle w:val="TableParagraph"/>
              <w:ind w:left="148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11.1</w:t>
            </w:r>
          </w:p>
        </w:tc>
        <w:tc>
          <w:tcPr>
            <w:tcW w:w="568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0.327</w:t>
            </w:r>
          </w:p>
        </w:tc>
        <w:tc>
          <w:tcPr>
            <w:tcW w:w="472" w:type="dxa"/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color w:val="231F20"/>
                <w:sz w:val="14"/>
              </w:rPr>
              <w:t>11.5</w:t>
            </w:r>
          </w:p>
        </w:tc>
        <w:tc>
          <w:tcPr>
            <w:tcW w:w="501" w:type="dxa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color w:val="231F20"/>
                <w:sz w:val="14"/>
              </w:rPr>
              <w:t>10.6</w:t>
            </w:r>
          </w:p>
        </w:tc>
        <w:tc>
          <w:tcPr>
            <w:tcW w:w="706" w:type="dxa"/>
          </w:tcPr>
          <w:p>
            <w:pPr>
              <w:pStyle w:val="TableParagraph"/>
              <w:ind w:left="133"/>
              <w:rPr>
                <w:sz w:val="14"/>
              </w:rPr>
            </w:pPr>
            <w:r>
              <w:rPr>
                <w:color w:val="231F20"/>
                <w:sz w:val="14"/>
              </w:rPr>
              <w:t>11.0</w:t>
            </w:r>
          </w:p>
        </w:tc>
        <w:tc>
          <w:tcPr>
            <w:tcW w:w="867" w:type="dxa"/>
          </w:tcPr>
          <w:p>
            <w:pPr>
              <w:pStyle w:val="TableParagraph"/>
              <w:ind w:left="272" w:right="20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0.235</w:t>
            </w:r>
          </w:p>
        </w:tc>
        <w:tc>
          <w:tcPr>
            <w:tcW w:w="665" w:type="dxa"/>
          </w:tcPr>
          <w:p>
            <w:pPr>
              <w:pStyle w:val="TableParagraph"/>
              <w:ind w:right="62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0.016</w:t>
            </w:r>
          </w:p>
        </w:tc>
      </w:tr>
      <w:tr>
        <w:trPr>
          <w:trHeight w:val="308" w:hRule="atLeast"/>
        </w:trPr>
        <w:tc>
          <w:tcPr>
            <w:tcW w:w="1291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IBDU Group W</w:t>
            </w:r>
          </w:p>
        </w:tc>
        <w:tc>
          <w:tcPr>
            <w:tcW w:w="666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8"/>
              <w:rPr>
                <w:sz w:val="14"/>
              </w:rPr>
            </w:pPr>
            <w:r>
              <w:rPr>
                <w:color w:val="231F20"/>
                <w:sz w:val="14"/>
              </w:rPr>
              <w:t>30.5</w:t>
            </w:r>
          </w:p>
        </w:tc>
        <w:tc>
          <w:tcPr>
            <w:tcW w:w="634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14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30.3</w:t>
            </w:r>
          </w:p>
        </w:tc>
        <w:tc>
          <w:tcPr>
            <w:tcW w:w="561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24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30.7</w:t>
            </w:r>
          </w:p>
        </w:tc>
        <w:tc>
          <w:tcPr>
            <w:tcW w:w="575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0.388</w:t>
            </w:r>
          </w:p>
        </w:tc>
        <w:tc>
          <w:tcPr>
            <w:tcW w:w="448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1"/>
              <w:rPr>
                <w:sz w:val="14"/>
              </w:rPr>
            </w:pPr>
            <w:r>
              <w:rPr>
                <w:color w:val="231F20"/>
                <w:sz w:val="14"/>
              </w:rPr>
              <w:t>30.9</w:t>
            </w:r>
          </w:p>
        </w:tc>
        <w:tc>
          <w:tcPr>
            <w:tcW w:w="493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30.1</w:t>
            </w:r>
          </w:p>
        </w:tc>
        <w:tc>
          <w:tcPr>
            <w:tcW w:w="69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color w:val="231F20"/>
                <w:sz w:val="14"/>
              </w:rPr>
              <w:t>30.4</w:t>
            </w:r>
          </w:p>
        </w:tc>
        <w:tc>
          <w:tcPr>
            <w:tcW w:w="933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68" w:right="27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0.315</w:t>
            </w:r>
          </w:p>
        </w:tc>
        <w:tc>
          <w:tcPr>
            <w:tcW w:w="1433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212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IBDU Group X</w:t>
            </w:r>
          </w:p>
        </w:tc>
        <w:tc>
          <w:tcPr>
            <w:tcW w:w="709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30.6</w:t>
            </w:r>
          </w:p>
        </w:tc>
        <w:tc>
          <w:tcPr>
            <w:tcW w:w="707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34" w:right="15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30.4</w:t>
            </w:r>
          </w:p>
        </w:tc>
        <w:tc>
          <w:tcPr>
            <w:tcW w:w="559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47" w:right="9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30.8</w:t>
            </w:r>
          </w:p>
        </w:tc>
        <w:tc>
          <w:tcPr>
            <w:tcW w:w="568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0.667</w:t>
            </w:r>
          </w:p>
        </w:tc>
        <w:tc>
          <w:tcPr>
            <w:tcW w:w="47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color w:val="231F20"/>
                <w:sz w:val="14"/>
              </w:rPr>
              <w:t>31.2</w:t>
            </w:r>
          </w:p>
        </w:tc>
        <w:tc>
          <w:tcPr>
            <w:tcW w:w="501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87"/>
              <w:rPr>
                <w:sz w:val="14"/>
              </w:rPr>
            </w:pPr>
            <w:r>
              <w:rPr>
                <w:color w:val="231F20"/>
                <w:sz w:val="14"/>
              </w:rPr>
              <w:t>30.0</w:t>
            </w:r>
          </w:p>
        </w:tc>
        <w:tc>
          <w:tcPr>
            <w:tcW w:w="706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27"/>
              <w:rPr>
                <w:sz w:val="14"/>
              </w:rPr>
            </w:pPr>
            <w:r>
              <w:rPr>
                <w:color w:val="231F20"/>
                <w:sz w:val="14"/>
              </w:rPr>
              <w:t>30.6</w:t>
            </w:r>
          </w:p>
        </w:tc>
        <w:tc>
          <w:tcPr>
            <w:tcW w:w="867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72" w:right="20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0.578</w:t>
            </w:r>
          </w:p>
        </w:tc>
        <w:tc>
          <w:tcPr>
            <w:tcW w:w="665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0.019</w:t>
            </w:r>
          </w:p>
        </w:tc>
      </w:tr>
    </w:tbl>
    <w:p>
      <w:pPr>
        <w:spacing w:before="27"/>
        <w:ind w:left="119" w:right="0" w:firstLine="0"/>
        <w:jc w:val="left"/>
        <w:rPr>
          <w:rFonts w:ascii="Arial MT" w:hAnsi="Arial MT"/>
          <w:sz w:val="14"/>
        </w:rPr>
      </w:pPr>
      <w:r>
        <w:rPr>
          <w:rFonts w:ascii="Arial" w:hAnsi="Arial"/>
          <w:i/>
          <w:color w:val="231F20"/>
          <w:sz w:val="14"/>
          <w:vertAlign w:val="superscript"/>
        </w:rPr>
        <w:t>a</w:t>
      </w:r>
      <w:r>
        <w:rPr>
          <w:rFonts w:ascii="Arial" w:hAnsi="Arial"/>
          <w:i/>
          <w:color w:val="231F20"/>
          <w:spacing w:val="58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“F”</w:t>
      </w:r>
      <w:r>
        <w:rPr>
          <w:rFonts w:ascii="Arial MT" w:hAnsi="Arial MT"/>
          <w:color w:val="231F20"/>
          <w:spacing w:val="-2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is</w:t>
      </w:r>
      <w:r>
        <w:rPr>
          <w:rFonts w:ascii="Arial MT" w:hAnsi="Arial MT"/>
          <w:color w:val="231F20"/>
          <w:spacing w:val="-3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determined</w:t>
      </w:r>
      <w:r>
        <w:rPr>
          <w:rFonts w:ascii="Arial MT" w:hAnsi="Arial MT"/>
          <w:color w:val="231F20"/>
          <w:spacing w:val="-2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by</w:t>
      </w:r>
      <w:r>
        <w:rPr>
          <w:rFonts w:ascii="Arial MT" w:hAnsi="Arial MT"/>
          <w:color w:val="231F20"/>
          <w:spacing w:val="-3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pairing</w:t>
      </w:r>
      <w:r>
        <w:rPr>
          <w:rFonts w:ascii="Arial MT" w:hAnsi="Arial MT"/>
          <w:color w:val="231F20"/>
          <w:spacing w:val="-2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each</w:t>
      </w:r>
      <w:r>
        <w:rPr>
          <w:rFonts w:ascii="Arial MT" w:hAnsi="Arial MT"/>
          <w:color w:val="231F20"/>
          <w:spacing w:val="-3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subgroup</w:t>
      </w:r>
      <w:r>
        <w:rPr>
          <w:rFonts w:ascii="Arial MT" w:hAnsi="Arial MT"/>
          <w:color w:val="231F20"/>
          <w:spacing w:val="-1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in</w:t>
      </w:r>
      <w:r>
        <w:rPr>
          <w:rFonts w:ascii="Arial MT" w:hAnsi="Arial MT"/>
          <w:color w:val="231F20"/>
          <w:spacing w:val="-3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Group</w:t>
      </w:r>
      <w:r>
        <w:rPr>
          <w:rFonts w:ascii="Arial MT" w:hAnsi="Arial MT"/>
          <w:color w:val="231F20"/>
          <w:spacing w:val="-2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I</w:t>
      </w:r>
      <w:r>
        <w:rPr>
          <w:rFonts w:ascii="Arial MT" w:hAnsi="Arial MT"/>
          <w:color w:val="231F20"/>
          <w:spacing w:val="-1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with</w:t>
      </w:r>
      <w:r>
        <w:rPr>
          <w:rFonts w:ascii="Arial MT" w:hAnsi="Arial MT"/>
          <w:color w:val="231F20"/>
          <w:spacing w:val="-3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its</w:t>
      </w:r>
      <w:r>
        <w:rPr>
          <w:rFonts w:ascii="Arial MT" w:hAnsi="Arial MT"/>
          <w:color w:val="231F20"/>
          <w:spacing w:val="-2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equivalent</w:t>
      </w:r>
      <w:r>
        <w:rPr>
          <w:rFonts w:ascii="Arial MT" w:hAnsi="Arial MT"/>
          <w:color w:val="231F20"/>
          <w:spacing w:val="-3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subgroup</w:t>
      </w:r>
      <w:r>
        <w:rPr>
          <w:rFonts w:ascii="Arial MT" w:hAnsi="Arial MT"/>
          <w:color w:val="231F20"/>
          <w:spacing w:val="-1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in</w:t>
      </w:r>
      <w:r>
        <w:rPr>
          <w:rFonts w:ascii="Arial MT" w:hAnsi="Arial MT"/>
          <w:color w:val="231F20"/>
          <w:spacing w:val="-3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Group</w:t>
      </w:r>
      <w:r>
        <w:rPr>
          <w:rFonts w:ascii="Arial MT" w:hAnsi="Arial MT"/>
          <w:color w:val="231F20"/>
          <w:spacing w:val="-2"/>
          <w:sz w:val="14"/>
          <w:vertAlign w:val="baseline"/>
        </w:rPr>
        <w:t> </w:t>
      </w:r>
      <w:r>
        <w:rPr>
          <w:rFonts w:ascii="Arial MT" w:hAnsi="Arial MT"/>
          <w:color w:val="231F20"/>
          <w:sz w:val="14"/>
          <w:vertAlign w:val="baseline"/>
        </w:rPr>
        <w:t>II.</w:t>
      </w:r>
    </w:p>
    <w:p>
      <w:pPr>
        <w:spacing w:after="0"/>
        <w:jc w:val="left"/>
        <w:rPr>
          <w:rFonts w:ascii="Arial MT" w:hAnsi="Arial MT"/>
          <w:sz w:val="14"/>
        </w:rPr>
        <w:sectPr>
          <w:type w:val="continuous"/>
          <w:pgSz w:w="15840" w:h="11880" w:orient="landscape"/>
          <w:pgMar w:top="700" w:bottom="280" w:left="960" w:right="1180"/>
        </w:sectPr>
      </w:pPr>
    </w:p>
    <w:p>
      <w:pPr>
        <w:spacing w:before="72"/>
        <w:ind w:left="3524" w:right="0" w:firstLine="0"/>
        <w:jc w:val="left"/>
        <w:rPr>
          <w:b/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z w:val="15"/>
        </w:rPr>
        <w:t>BRAMS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ET</w:t>
      </w:r>
      <w:r>
        <w:rPr>
          <w:color w:val="231F20"/>
          <w:spacing w:val="9"/>
          <w:sz w:val="15"/>
        </w:rPr>
        <w:t> </w:t>
      </w:r>
      <w:r>
        <w:rPr>
          <w:color w:val="231F20"/>
          <w:sz w:val="15"/>
        </w:rPr>
        <w:t>AL</w:t>
      </w:r>
      <w:r>
        <w:rPr>
          <w:color w:val="231F20"/>
          <w:sz w:val="20"/>
        </w:rPr>
        <w:t>.: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18"/>
        </w:rPr>
        <w:t>J</w:t>
      </w:r>
      <w:r>
        <w:rPr>
          <w:color w:val="231F20"/>
          <w:sz w:val="15"/>
        </w:rPr>
        <w:t>OURNAL</w:t>
      </w:r>
      <w:r>
        <w:rPr>
          <w:color w:val="231F20"/>
          <w:spacing w:val="5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5"/>
          <w:sz w:val="15"/>
        </w:rPr>
        <w:t> </w:t>
      </w:r>
      <w:r>
        <w:rPr>
          <w:color w:val="231F20"/>
          <w:sz w:val="18"/>
        </w:rPr>
        <w:t>AOAC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</w:t>
      </w:r>
      <w:r>
        <w:rPr>
          <w:color w:val="231F20"/>
          <w:sz w:val="15"/>
        </w:rPr>
        <w:t>NTERNATIONAL</w:t>
      </w:r>
      <w:r>
        <w:rPr>
          <w:color w:val="231F20"/>
          <w:spacing w:val="1"/>
          <w:sz w:val="15"/>
        </w:rPr>
        <w:t> </w:t>
      </w:r>
      <w:r>
        <w:rPr>
          <w:color w:val="231F20"/>
          <w:sz w:val="18"/>
        </w:rPr>
        <w:t>V</w:t>
      </w:r>
      <w:r>
        <w:rPr>
          <w:color w:val="231F20"/>
          <w:sz w:val="15"/>
        </w:rPr>
        <w:t>OL</w:t>
      </w:r>
      <w:r>
        <w:rPr>
          <w:color w:val="231F20"/>
          <w:sz w:val="20"/>
        </w:rPr>
        <w:t>.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18"/>
        </w:rPr>
        <w:t>97,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</w:t>
      </w:r>
      <w:r>
        <w:rPr>
          <w:color w:val="231F20"/>
          <w:sz w:val="15"/>
        </w:rPr>
        <w:t>O</w:t>
      </w:r>
      <w:r>
        <w:rPr>
          <w:color w:val="231F20"/>
          <w:sz w:val="18"/>
        </w:rPr>
        <w:t>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3,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2014</w:t>
      </w:r>
      <w:r>
        <w:rPr>
          <w:color w:val="231F20"/>
          <w:spacing w:val="82"/>
          <w:sz w:val="18"/>
        </w:rPr>
        <w:t> </w:t>
      </w:r>
      <w:r>
        <w:rPr>
          <w:b/>
          <w:color w:val="231F20"/>
          <w:sz w:val="18"/>
        </w:rPr>
        <w:t>767</w:t>
      </w:r>
    </w:p>
    <w:p>
      <w:pPr>
        <w:pStyle w:val="BodyText"/>
        <w:spacing w:before="1"/>
        <w:rPr>
          <w:b/>
          <w:sz w:val="13"/>
        </w:rPr>
      </w:pPr>
    </w:p>
    <w:p>
      <w:pPr>
        <w:spacing w:after="0"/>
        <w:rPr>
          <w:sz w:val="13"/>
        </w:rPr>
        <w:sectPr>
          <w:pgSz w:w="11880" w:h="15840"/>
          <w:pgMar w:top="700" w:bottom="280" w:left="1320" w:right="840"/>
        </w:sectPr>
      </w:pPr>
    </w:p>
    <w:p>
      <w:pPr>
        <w:pStyle w:val="BodyText"/>
        <w:spacing w:before="93"/>
        <w:ind w:left="120"/>
      </w:pPr>
      <w:r>
        <w:rPr/>
        <w:pict>
          <v:shape style="position:absolute;margin-left:569.134705pt;margin-top:215.220001pt;width:10.95pt;height:361.5pt;mso-position-horizontal-relative:page;mso-position-vertical-relative:page;z-index:15736320" type="#_x0000_t2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666666"/>
                      <w:sz w:val="16"/>
                    </w:rPr>
                    <w:t>Downloaded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from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https://academic.oup.com/jaoac/article/97/3/764/5654772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by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guest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on</w:t>
                  </w:r>
                  <w:r>
                    <w:rPr>
                      <w:rFonts w:ascii="Arial MT"/>
                      <w:color w:val="666666"/>
                      <w:spacing w:val="-10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17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May</w:t>
                  </w:r>
                  <w:r>
                    <w:rPr>
                      <w:rFonts w:ascii="Arial MT"/>
                      <w:color w:val="666666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/>
                      <w:color w:val="666666"/>
                      <w:sz w:val="16"/>
                    </w:rPr>
                    <w:t>2022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(pH</w:t>
      </w:r>
      <w:r>
        <w:rPr>
          <w:color w:val="231F20"/>
          <w:spacing w:val="13"/>
        </w:rPr>
        <w:t> </w:t>
      </w:r>
      <w:r>
        <w:rPr>
          <w:color w:val="231F20"/>
        </w:rPr>
        <w:t>5.7)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0.25</w:t>
      </w:r>
      <w:r>
        <w:rPr>
          <w:color w:val="231F20"/>
          <w:spacing w:val="14"/>
        </w:rPr>
        <w:t> </w:t>
      </w:r>
      <w:r>
        <w:rPr>
          <w:color w:val="231F20"/>
        </w:rPr>
        <w:t>N</w:t>
      </w:r>
      <w:r>
        <w:rPr>
          <w:color w:val="231F20"/>
          <w:spacing w:val="13"/>
        </w:rPr>
        <w:t> </w:t>
      </w:r>
      <w:r>
        <w:rPr>
          <w:color w:val="231F20"/>
        </w:rPr>
        <w:t>standard</w:t>
      </w:r>
      <w:r>
        <w:rPr>
          <w:color w:val="231F20"/>
          <w:spacing w:val="13"/>
        </w:rPr>
        <w:t> </w:t>
      </w:r>
      <w:r>
        <w:rPr>
          <w:color w:val="231F20"/>
        </w:rPr>
        <w:t>NaOH.</w:t>
      </w:r>
      <w:r>
        <w:rPr>
          <w:color w:val="231F20"/>
          <w:spacing w:val="13"/>
        </w:rPr>
        <w:t> </w:t>
      </w:r>
      <w:r>
        <w:rPr>
          <w:color w:val="231F20"/>
        </w:rPr>
        <w:t>No</w:t>
      </w:r>
      <w:r>
        <w:rPr>
          <w:color w:val="231F20"/>
          <w:spacing w:val="13"/>
        </w:rPr>
        <w:t> </w:t>
      </w:r>
      <w:r>
        <w:rPr>
          <w:color w:val="231F20"/>
        </w:rPr>
        <w:t>modifications</w:t>
      </w:r>
      <w:r>
        <w:rPr>
          <w:color w:val="231F20"/>
          <w:spacing w:val="14"/>
        </w:rPr>
        <w:t> </w:t>
      </w:r>
      <w:r>
        <w:rPr>
          <w:color w:val="231F20"/>
        </w:rPr>
        <w:t>were</w:t>
      </w:r>
    </w:p>
    <w:p>
      <w:pPr>
        <w:pStyle w:val="BodyText"/>
        <w:spacing w:before="13"/>
        <w:ind w:left="119"/>
      </w:pPr>
      <w:r>
        <w:rPr>
          <w:color w:val="231F20"/>
        </w:rPr>
        <w:t>made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Step</w:t>
      </w:r>
      <w:r>
        <w:rPr>
          <w:color w:val="231F20"/>
          <w:spacing w:val="-2"/>
        </w:rPr>
        <w:t> </w:t>
      </w:r>
      <w:r>
        <w:rPr>
          <w:color w:val="231F20"/>
        </w:rPr>
        <w:t>2.</w:t>
      </w:r>
    </w:p>
    <w:p>
      <w:pPr>
        <w:pStyle w:val="BodyText"/>
        <w:rPr>
          <w:sz w:val="22"/>
        </w:rPr>
      </w:pPr>
    </w:p>
    <w:p>
      <w:pPr>
        <w:spacing w:before="0"/>
        <w:ind w:left="299" w:right="0" w:firstLine="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231F20"/>
          <w:sz w:val="18"/>
        </w:rPr>
        <w:t>Step</w:t>
      </w:r>
      <w:r>
        <w:rPr>
          <w:rFonts w:ascii="Arial" w:hAnsi="Arial"/>
          <w:i/>
          <w:color w:val="231F20"/>
          <w:spacing w:val="-7"/>
          <w:sz w:val="18"/>
        </w:rPr>
        <w:t> </w:t>
      </w:r>
      <w:r>
        <w:rPr>
          <w:rFonts w:ascii="Arial" w:hAnsi="Arial"/>
          <w:i/>
          <w:color w:val="231F20"/>
          <w:sz w:val="18"/>
        </w:rPr>
        <w:t>3—Calculations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pStyle w:val="BodyText"/>
        <w:spacing w:line="256" w:lineRule="auto"/>
        <w:ind w:left="119" w:right="38" w:firstLine="180"/>
        <w:jc w:val="both"/>
      </w:pPr>
      <w:r>
        <w:rPr>
          <w:color w:val="231F20"/>
        </w:rPr>
        <w:t>The color of the distillate depends upon the amount of total</w:t>
      </w:r>
      <w:r>
        <w:rPr>
          <w:color w:val="231F20"/>
          <w:spacing w:val="1"/>
        </w:rPr>
        <w:t> </w:t>
      </w:r>
      <w:r>
        <w:rPr>
          <w:color w:val="231F20"/>
        </w:rPr>
        <w:t>nitrogen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test</w:t>
      </w:r>
      <w:r>
        <w:rPr>
          <w:color w:val="231F20"/>
          <w:spacing w:val="-6"/>
        </w:rPr>
        <w:t> </w:t>
      </w:r>
      <w:r>
        <w:rPr>
          <w:color w:val="231F20"/>
        </w:rPr>
        <w:t>portion,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function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amount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ammonia trapped in the receiver flask. A green color indicates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acid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trap</w:t>
      </w:r>
      <w:r>
        <w:rPr>
          <w:color w:val="231F20"/>
          <w:spacing w:val="23"/>
        </w:rPr>
        <w:t> </w:t>
      </w:r>
      <w:r>
        <w:rPr>
          <w:color w:val="231F20"/>
        </w:rPr>
        <w:t>was</w:t>
      </w:r>
      <w:r>
        <w:rPr>
          <w:color w:val="231F20"/>
          <w:spacing w:val="24"/>
        </w:rPr>
        <w:t> </w:t>
      </w:r>
      <w:r>
        <w:rPr>
          <w:color w:val="231F20"/>
        </w:rPr>
        <w:t>neutralized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ammonia.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this point, add an additional known amount of standardized</w:t>
      </w:r>
      <w:r>
        <w:rPr>
          <w:color w:val="231F20"/>
          <w:spacing w:val="1"/>
        </w:rPr>
        <w:t> </w:t>
      </w:r>
      <w:r>
        <w:rPr>
          <w:color w:val="231F20"/>
        </w:rPr>
        <w:t>H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SO</w:t>
      </w: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> to get to the grey end point. The net volume (in mL) of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standardized acid would be equal to the total amount of acid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initially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added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receiving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flask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plus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amount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added, after distillation, to reach to the grey end point. A blue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or purple color indicates that there is still acid in the receiving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flask,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back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titration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NaOH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required.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net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volume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standardized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(std)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would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equal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amount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acid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in the receiving flask minus the amount of base added, after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distillation, to reach to the grey end point.</w:t>
      </w:r>
    </w:p>
    <w:p>
      <w:pPr>
        <w:pStyle w:val="BodyText"/>
        <w:spacing w:line="196" w:lineRule="exact"/>
        <w:ind w:left="300"/>
        <w:jc w:val="both"/>
      </w:pPr>
      <w:r>
        <w:rPr>
          <w:color w:val="231F20"/>
        </w:rPr>
        <w:t>Weight</w:t>
      </w:r>
      <w:r>
        <w:rPr>
          <w:color w:val="231F20"/>
          <w:spacing w:val="-2"/>
        </w:rPr>
        <w:t> </w:t>
      </w:r>
      <w:r>
        <w:rPr>
          <w:color w:val="231F20"/>
        </w:rPr>
        <w:t>percent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nitrogen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calculated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follows:</w:t>
      </w:r>
    </w:p>
    <w:p>
      <w:pPr>
        <w:pStyle w:val="BodyText"/>
        <w:rPr>
          <w:sz w:val="19"/>
        </w:rPr>
      </w:pPr>
    </w:p>
    <w:p>
      <w:pPr>
        <w:spacing w:line="184" w:lineRule="auto" w:before="0"/>
        <w:ind w:left="256" w:right="0" w:firstLine="0"/>
        <w:jc w:val="both"/>
        <w:rPr>
          <w:sz w:val="12"/>
        </w:rPr>
      </w:pPr>
      <w:r>
        <w:rPr>
          <w:position w:val="-7"/>
          <w:sz w:val="12"/>
        </w:rPr>
        <w:t>Total</w:t>
      </w:r>
      <w:r>
        <w:rPr>
          <w:spacing w:val="-3"/>
          <w:position w:val="-7"/>
          <w:sz w:val="12"/>
        </w:rPr>
        <w:t> </w:t>
      </w:r>
      <w:r>
        <w:rPr>
          <w:position w:val="-7"/>
          <w:sz w:val="12"/>
        </w:rPr>
        <w:t>N,</w:t>
      </w:r>
      <w:r>
        <w:rPr>
          <w:spacing w:val="-1"/>
          <w:position w:val="-7"/>
          <w:sz w:val="12"/>
        </w:rPr>
        <w:t> </w:t>
      </w:r>
      <w:r>
        <w:rPr>
          <w:position w:val="-7"/>
          <w:sz w:val="12"/>
        </w:rPr>
        <w:t>% =</w:t>
      </w:r>
      <w:r>
        <w:rPr>
          <w:spacing w:val="24"/>
          <w:position w:val="-7"/>
          <w:sz w:val="12"/>
        </w:rPr>
        <w:t> </w:t>
      </w:r>
      <w:r>
        <w:rPr>
          <w:sz w:val="12"/>
          <w:u w:val="single"/>
        </w:rPr>
        <w:t>(net</w:t>
      </w:r>
      <w:r>
        <w:rPr>
          <w:spacing w:val="-1"/>
          <w:sz w:val="12"/>
          <w:u w:val="single"/>
        </w:rPr>
        <w:t> </w:t>
      </w:r>
      <w:r>
        <w:rPr>
          <w:sz w:val="12"/>
          <w:u w:val="single"/>
        </w:rPr>
        <w:t>mL</w:t>
      </w:r>
      <w:r>
        <w:rPr>
          <w:spacing w:val="-4"/>
          <w:sz w:val="12"/>
          <w:u w:val="single"/>
        </w:rPr>
        <w:t> </w:t>
      </w:r>
      <w:r>
        <w:rPr>
          <w:sz w:val="12"/>
          <w:u w:val="single"/>
        </w:rPr>
        <w:t>std</w:t>
      </w:r>
      <w:r>
        <w:rPr>
          <w:spacing w:val="-1"/>
          <w:sz w:val="12"/>
          <w:u w:val="single"/>
        </w:rPr>
        <w:t> </w:t>
      </w:r>
      <w:r>
        <w:rPr>
          <w:sz w:val="12"/>
          <w:u w:val="single"/>
        </w:rPr>
        <w:t>acid</w:t>
      </w:r>
      <w:r>
        <w:rPr>
          <w:spacing w:val="-2"/>
          <w:sz w:val="12"/>
          <w:u w:val="single"/>
        </w:rPr>
        <w:t> </w:t>
      </w:r>
      <w:r>
        <w:rPr>
          <w:sz w:val="12"/>
          <w:u w:val="single"/>
        </w:rPr>
        <w:t>×</w:t>
      </w:r>
      <w:r>
        <w:rPr>
          <w:spacing w:val="-2"/>
          <w:sz w:val="12"/>
          <w:u w:val="single"/>
        </w:rPr>
        <w:t> </w:t>
      </w:r>
      <w:r>
        <w:rPr>
          <w:sz w:val="12"/>
          <w:u w:val="single"/>
        </w:rPr>
        <w:t>N</w:t>
      </w:r>
      <w:r>
        <w:rPr>
          <w:spacing w:val="-1"/>
          <w:sz w:val="12"/>
          <w:u w:val="single"/>
        </w:rPr>
        <w:t> </w:t>
      </w:r>
      <w:r>
        <w:rPr>
          <w:sz w:val="12"/>
          <w:u w:val="single"/>
        </w:rPr>
        <w:t>of</w:t>
      </w:r>
      <w:r>
        <w:rPr>
          <w:spacing w:val="-2"/>
          <w:sz w:val="12"/>
          <w:u w:val="single"/>
        </w:rPr>
        <w:t> </w:t>
      </w:r>
      <w:r>
        <w:rPr>
          <w:sz w:val="12"/>
          <w:u w:val="single"/>
        </w:rPr>
        <w:t>std</w:t>
      </w:r>
      <w:r>
        <w:rPr>
          <w:spacing w:val="-2"/>
          <w:sz w:val="12"/>
          <w:u w:val="single"/>
        </w:rPr>
        <w:t> </w:t>
      </w:r>
      <w:r>
        <w:rPr>
          <w:sz w:val="12"/>
          <w:u w:val="single"/>
        </w:rPr>
        <w:t>acid)</w:t>
      </w:r>
      <w:r>
        <w:rPr>
          <w:spacing w:val="-1"/>
          <w:sz w:val="12"/>
          <w:u w:val="single"/>
        </w:rPr>
        <w:t> </w:t>
      </w:r>
      <w:r>
        <w:rPr>
          <w:sz w:val="12"/>
          <w:u w:val="single"/>
        </w:rPr>
        <w:t>-</w:t>
      </w:r>
      <w:r>
        <w:rPr>
          <w:spacing w:val="-1"/>
          <w:sz w:val="12"/>
          <w:u w:val="single"/>
        </w:rPr>
        <w:t> </w:t>
      </w:r>
      <w:r>
        <w:rPr>
          <w:sz w:val="12"/>
          <w:u w:val="single"/>
        </w:rPr>
        <w:t>(net</w:t>
      </w:r>
      <w:r>
        <w:rPr>
          <w:spacing w:val="-3"/>
          <w:sz w:val="12"/>
          <w:u w:val="single"/>
        </w:rPr>
        <w:t> </w:t>
      </w:r>
      <w:r>
        <w:rPr>
          <w:sz w:val="12"/>
          <w:u w:val="single"/>
        </w:rPr>
        <w:t>mL</w:t>
      </w:r>
      <w:r>
        <w:rPr>
          <w:spacing w:val="-3"/>
          <w:sz w:val="12"/>
          <w:u w:val="single"/>
        </w:rPr>
        <w:t> </w:t>
      </w:r>
      <w:r>
        <w:rPr>
          <w:sz w:val="12"/>
          <w:u w:val="single"/>
        </w:rPr>
        <w:t>std</w:t>
      </w:r>
      <w:r>
        <w:rPr>
          <w:spacing w:val="-1"/>
          <w:sz w:val="12"/>
          <w:u w:val="single"/>
        </w:rPr>
        <w:t> </w:t>
      </w:r>
      <w:r>
        <w:rPr>
          <w:sz w:val="12"/>
          <w:u w:val="single"/>
        </w:rPr>
        <w:t>base ×</w:t>
      </w:r>
      <w:r>
        <w:rPr>
          <w:spacing w:val="-1"/>
          <w:sz w:val="12"/>
          <w:u w:val="single"/>
        </w:rPr>
        <w:t> </w:t>
      </w:r>
      <w:r>
        <w:rPr>
          <w:sz w:val="12"/>
          <w:u w:val="single"/>
        </w:rPr>
        <w:t>N</w:t>
      </w:r>
      <w:r>
        <w:rPr>
          <w:spacing w:val="-1"/>
          <w:sz w:val="12"/>
          <w:u w:val="single"/>
        </w:rPr>
        <w:t> </w:t>
      </w:r>
      <w:r>
        <w:rPr>
          <w:sz w:val="12"/>
          <w:u w:val="single"/>
        </w:rPr>
        <w:t>of std</w:t>
      </w:r>
      <w:r>
        <w:rPr>
          <w:spacing w:val="-1"/>
          <w:sz w:val="12"/>
          <w:u w:val="single"/>
        </w:rPr>
        <w:t> </w:t>
      </w:r>
      <w:r>
        <w:rPr>
          <w:sz w:val="12"/>
          <w:u w:val="single"/>
        </w:rPr>
        <w:t>base)</w:t>
      </w:r>
      <w:r>
        <w:rPr>
          <w:spacing w:val="-1"/>
          <w:sz w:val="12"/>
          <w:u w:val="single"/>
        </w:rPr>
        <w:t> </w:t>
      </w:r>
      <w:r>
        <w:rPr>
          <w:sz w:val="12"/>
          <w:u w:val="single"/>
        </w:rPr>
        <w:t>× 1.4008</w:t>
      </w:r>
    </w:p>
    <w:p>
      <w:pPr>
        <w:spacing w:line="114" w:lineRule="exact" w:before="0"/>
        <w:ind w:left="2381" w:right="0" w:firstLine="0"/>
        <w:jc w:val="left"/>
        <w:rPr>
          <w:sz w:val="12"/>
        </w:rPr>
      </w:pPr>
      <w:r>
        <w:rPr>
          <w:sz w:val="12"/>
        </w:rPr>
        <w:t>sample</w:t>
      </w:r>
      <w:r>
        <w:rPr>
          <w:spacing w:val="-5"/>
          <w:sz w:val="12"/>
        </w:rPr>
        <w:t> </w:t>
      </w:r>
      <w:r>
        <w:rPr>
          <w:sz w:val="12"/>
        </w:rPr>
        <w:t>weight,</w:t>
      </w:r>
      <w:r>
        <w:rPr>
          <w:spacing w:val="-4"/>
          <w:sz w:val="12"/>
        </w:rPr>
        <w:t> </w:t>
      </w:r>
      <w:r>
        <w:rPr>
          <w:sz w:val="12"/>
        </w:rPr>
        <w:t>g</w:t>
      </w:r>
    </w:p>
    <w:p>
      <w:pPr>
        <w:pStyle w:val="BodyText"/>
        <w:rPr>
          <w:sz w:val="16"/>
        </w:rPr>
      </w:pPr>
    </w:p>
    <w:p>
      <w:pPr>
        <w:pStyle w:val="BodyText"/>
        <w:spacing w:before="114"/>
        <w:ind w:left="300"/>
        <w:jc w:val="both"/>
      </w:pP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modifications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made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Step</w:t>
      </w:r>
      <w:r>
        <w:rPr>
          <w:color w:val="231F20"/>
          <w:spacing w:val="-3"/>
        </w:rPr>
        <w:t> </w:t>
      </w:r>
      <w:r>
        <w:rPr>
          <w:color w:val="231F20"/>
        </w:rPr>
        <w:t>3.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</w:pPr>
      <w:r>
        <w:rPr>
          <w:color w:val="231F20"/>
        </w:rPr>
        <w:t>Materials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line="256" w:lineRule="auto"/>
        <w:ind w:left="120" w:right="38" w:firstLine="180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nitrogen-containing</w:t>
      </w:r>
      <w:r>
        <w:rPr>
          <w:color w:val="231F20"/>
          <w:spacing w:val="1"/>
        </w:rPr>
        <w:t> </w:t>
      </w:r>
      <w:r>
        <w:rPr>
          <w:color w:val="231F20"/>
        </w:rPr>
        <w:t>compounds</w:t>
      </w:r>
      <w:r>
        <w:rPr>
          <w:color w:val="231F20"/>
          <w:spacing w:val="1"/>
        </w:rPr>
        <w:t> </w:t>
      </w:r>
      <w:r>
        <w:rPr>
          <w:color w:val="231F20"/>
        </w:rPr>
        <w:t>chosen</w:t>
      </w:r>
      <w:r>
        <w:rPr>
          <w:color w:val="231F20"/>
          <w:spacing w:val="46"/>
        </w:rPr>
        <w:t> </w:t>
      </w:r>
      <w:r>
        <w:rPr>
          <w:color w:val="231F20"/>
        </w:rPr>
        <w:t>for</w:t>
      </w:r>
      <w:r>
        <w:rPr>
          <w:color w:val="231F20"/>
          <w:spacing w:val="46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studies are listed in Table 2. These materials represent uniform</w:t>
      </w:r>
      <w:r>
        <w:rPr>
          <w:color w:val="231F20"/>
          <w:spacing w:val="-42"/>
        </w:rPr>
        <w:t> </w:t>
      </w:r>
      <w:r>
        <w:rPr>
          <w:color w:val="231F20"/>
        </w:rPr>
        <w:t>nitrogen-containing</w:t>
      </w:r>
      <w:r>
        <w:rPr>
          <w:color w:val="231F20"/>
          <w:spacing w:val="1"/>
        </w:rPr>
        <w:t> </w:t>
      </w:r>
      <w:r>
        <w:rPr>
          <w:color w:val="231F20"/>
        </w:rPr>
        <w:t>compounds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liquid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solid</w:t>
      </w:r>
      <w:r>
        <w:rPr>
          <w:color w:val="231F20"/>
          <w:spacing w:val="1"/>
        </w:rPr>
        <w:t> </w:t>
      </w:r>
      <w:r>
        <w:rPr>
          <w:color w:val="231F20"/>
        </w:rPr>
        <w:t>forms. These sets of fertilizers represent both inorganic and</w:t>
      </w:r>
      <w:r>
        <w:rPr>
          <w:color w:val="231F20"/>
          <w:spacing w:val="1"/>
        </w:rPr>
        <w:t> </w:t>
      </w:r>
      <w:r>
        <w:rPr>
          <w:color w:val="231F20"/>
        </w:rPr>
        <w:t>organic</w:t>
      </w:r>
      <w:r>
        <w:rPr>
          <w:color w:val="231F20"/>
          <w:spacing w:val="-1"/>
        </w:rPr>
        <w:t> </w:t>
      </w:r>
      <w:r>
        <w:rPr>
          <w:color w:val="231F20"/>
        </w:rPr>
        <w:t>N-containing</w:t>
      </w:r>
      <w:r>
        <w:rPr>
          <w:color w:val="231F20"/>
          <w:spacing w:val="-1"/>
        </w:rPr>
        <w:t> </w:t>
      </w:r>
      <w:r>
        <w:rPr>
          <w:color w:val="231F20"/>
        </w:rPr>
        <w:t>fertilizers.</w:t>
      </w:r>
    </w:p>
    <w:p>
      <w:pPr>
        <w:pStyle w:val="Heading1"/>
        <w:spacing w:before="98"/>
      </w:pPr>
      <w:r>
        <w:rPr>
          <w:b w:val="0"/>
        </w:rPr>
        <w:br w:type="column"/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Discussion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BodyText"/>
        <w:spacing w:line="256" w:lineRule="auto"/>
        <w:ind w:left="120" w:right="117" w:firstLine="180"/>
        <w:jc w:val="both"/>
      </w:pP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materials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analyzed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46"/>
        </w:rPr>
        <w:t> </w:t>
      </w:r>
      <w:r>
        <w:rPr>
          <w:color w:val="231F20"/>
        </w:rPr>
        <w:t>AOAC</w:t>
      </w:r>
      <w:r>
        <w:rPr>
          <w:color w:val="231F20"/>
          <w:spacing w:val="46"/>
        </w:rPr>
        <w:t> </w:t>
      </w:r>
      <w:r>
        <w:rPr>
          <w:i/>
          <w:color w:val="231F20"/>
        </w:rPr>
        <w:t>Official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Method</w:t>
      </w:r>
      <w:r>
        <w:rPr>
          <w:color w:val="231F20"/>
          <w:vertAlign w:val="superscript"/>
        </w:rPr>
        <w:t>SM</w:t>
      </w:r>
      <w:r>
        <w:rPr>
          <w:color w:val="231F20"/>
          <w:vertAlign w:val="baseline"/>
        </w:rPr>
        <w:t> </w:t>
      </w:r>
      <w:r>
        <w:rPr>
          <w:b/>
          <w:color w:val="231F20"/>
          <w:vertAlign w:val="baseline"/>
        </w:rPr>
        <w:t>978.02 </w:t>
      </w:r>
      <w:r>
        <w:rPr>
          <w:color w:val="231F20"/>
          <w:vertAlign w:val="baseline"/>
        </w:rPr>
        <w:t>as outlined above with and without copper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sulfate.</w:t>
      </w:r>
    </w:p>
    <w:p>
      <w:pPr>
        <w:pStyle w:val="BodyText"/>
        <w:spacing w:line="256" w:lineRule="auto"/>
        <w:ind w:left="120" w:right="118" w:firstLine="180"/>
        <w:jc w:val="both"/>
      </w:pPr>
      <w:r>
        <w:rPr>
          <w:color w:val="231F20"/>
        </w:rPr>
        <w:t>As illustrated in Table 1, there was no significant difference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Kjeldahl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nitrogen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copper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sulfate</w:t>
      </w:r>
      <w:r>
        <w:rPr>
          <w:color w:val="231F20"/>
          <w:spacing w:val="-42"/>
        </w:rPr>
        <w:t> </w:t>
      </w:r>
      <w:r>
        <w:rPr>
          <w:color w:val="231F20"/>
        </w:rPr>
        <w:t>added or without copper sulfate added to the digestion mixture.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low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high</w:t>
      </w:r>
      <w:r>
        <w:rPr>
          <w:color w:val="231F20"/>
          <w:spacing w:val="-9"/>
        </w:rPr>
        <w:t> </w:t>
      </w:r>
      <w:r>
        <w:rPr>
          <w:color w:val="231F20"/>
        </w:rPr>
        <w:t>analyses</w:t>
      </w:r>
      <w:r>
        <w:rPr>
          <w:color w:val="231F20"/>
          <w:spacing w:val="-10"/>
        </w:rPr>
        <w:t> </w:t>
      </w:r>
      <w:r>
        <w:rPr>
          <w:color w:val="231F20"/>
        </w:rPr>
        <w:t>numbers,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well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range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bias,</w:t>
      </w:r>
      <w:r>
        <w:rPr>
          <w:color w:val="231F20"/>
          <w:spacing w:val="-42"/>
        </w:rPr>
        <w:t> </w:t>
      </w:r>
      <w:r>
        <w:rPr>
          <w:color w:val="231F20"/>
        </w:rPr>
        <w:t>average, and SD, are provided. The average of the analytical</w:t>
      </w:r>
      <w:r>
        <w:rPr>
          <w:color w:val="231F20"/>
          <w:spacing w:val="1"/>
        </w:rPr>
        <w:t> </w:t>
      </w:r>
      <w:r>
        <w:rPr>
          <w:color w:val="231F20"/>
        </w:rPr>
        <w:t>results with catalysts and without catalysts is tabulated. For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ammonium sulfate, the average is 21.15 ± 0.05% </w:t>
      </w:r>
      <w:r>
        <w:rPr>
          <w:color w:val="231F20"/>
          <w:spacing w:val="-1"/>
        </w:rPr>
        <w:t>with catalysts</w:t>
      </w:r>
      <w:r>
        <w:rPr>
          <w:color w:val="231F2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21.12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±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0.08%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without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catalysts.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results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analyses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products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listed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Table</w:t>
      </w:r>
      <w:r>
        <w:rPr>
          <w:color w:val="231F20"/>
          <w:spacing w:val="-6"/>
        </w:rPr>
        <w:t> </w:t>
      </w:r>
      <w:r>
        <w:rPr>
          <w:color w:val="231F20"/>
        </w:rPr>
        <w:t>2.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>
          <w:color w:val="231F20"/>
        </w:rPr>
        <w:t>Conclusions</w:t>
      </w: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BodyText"/>
        <w:spacing w:line="256" w:lineRule="auto" w:before="1"/>
        <w:ind w:left="120" w:right="116" w:firstLine="180"/>
        <w:jc w:val="both"/>
      </w:pP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wide</w:t>
      </w:r>
      <w:r>
        <w:rPr>
          <w:color w:val="231F20"/>
          <w:spacing w:val="1"/>
        </w:rPr>
        <w:t> </w:t>
      </w:r>
      <w:r>
        <w:rPr>
          <w:color w:val="231F20"/>
        </w:rPr>
        <w:t>variety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ammonium-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urea-containing</w:t>
      </w:r>
      <w:r>
        <w:rPr>
          <w:color w:val="231F20"/>
          <w:spacing w:val="1"/>
        </w:rPr>
        <w:t> </w:t>
      </w:r>
      <w:r>
        <w:rPr>
          <w:color w:val="231F20"/>
        </w:rPr>
        <w:t>fertilizer compounds that contain no nitrate nitrogen sources,</w:t>
      </w:r>
      <w:r>
        <w:rPr>
          <w:color w:val="231F20"/>
          <w:spacing w:val="1"/>
        </w:rPr>
        <w:t> </w:t>
      </w:r>
      <w:r>
        <w:rPr>
          <w:color w:val="231F20"/>
        </w:rPr>
        <w:t>the results show that AOAC Method </w:t>
      </w:r>
      <w:r>
        <w:rPr>
          <w:b/>
          <w:color w:val="231F20"/>
        </w:rPr>
        <w:t>978.02 </w:t>
      </w:r>
      <w:r>
        <w:rPr>
          <w:color w:val="231F20"/>
        </w:rPr>
        <w:t>can be carried out</w:t>
      </w:r>
      <w:r>
        <w:rPr>
          <w:color w:val="231F20"/>
          <w:spacing w:val="1"/>
        </w:rPr>
        <w:t> </w:t>
      </w:r>
      <w:r>
        <w:rPr>
          <w:color w:val="231F20"/>
        </w:rPr>
        <w:t>without the addition of environmentally hazardous catalysts</w:t>
      </w:r>
      <w:r>
        <w:rPr>
          <w:color w:val="231F20"/>
          <w:spacing w:val="1"/>
        </w:rPr>
        <w:t> </w:t>
      </w:r>
      <w:r>
        <w:rPr>
          <w:color w:val="231F20"/>
        </w:rPr>
        <w:t>with no significant changes in the analytical data. The resulting</w:t>
      </w:r>
      <w:r>
        <w:rPr>
          <w:color w:val="231F20"/>
          <w:spacing w:val="-42"/>
        </w:rPr>
        <w:t> </w:t>
      </w:r>
      <w:r>
        <w:rPr>
          <w:color w:val="231F20"/>
        </w:rPr>
        <w:t>data</w:t>
      </w:r>
      <w:r>
        <w:rPr>
          <w:color w:val="231F20"/>
          <w:spacing w:val="23"/>
        </w:rPr>
        <w:t> </w:t>
      </w:r>
      <w:r>
        <w:rPr>
          <w:color w:val="231F20"/>
        </w:rPr>
        <w:t>were</w:t>
      </w:r>
      <w:r>
        <w:rPr>
          <w:color w:val="231F20"/>
          <w:spacing w:val="24"/>
        </w:rPr>
        <w:t> </w:t>
      </w:r>
      <w:r>
        <w:rPr>
          <w:color w:val="231F20"/>
        </w:rPr>
        <w:t>evaluated</w:t>
      </w:r>
      <w:r>
        <w:rPr>
          <w:color w:val="231F20"/>
          <w:spacing w:val="24"/>
        </w:rPr>
        <w:t> </w:t>
      </w:r>
      <w:r>
        <w:rPr>
          <w:color w:val="231F20"/>
        </w:rPr>
        <w:t>using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paired</w:t>
      </w:r>
      <w:r>
        <w:rPr>
          <w:color w:val="231F20"/>
          <w:spacing w:val="25"/>
        </w:rPr>
        <w:t> </w:t>
      </w:r>
      <w:r>
        <w:rPr>
          <w:color w:val="231F20"/>
        </w:rPr>
        <w:t>test</w:t>
      </w:r>
      <w:r>
        <w:rPr>
          <w:color w:val="231F20"/>
          <w:spacing w:val="24"/>
        </w:rPr>
        <w:t> </w:t>
      </w:r>
      <w:r>
        <w:rPr>
          <w:color w:val="231F20"/>
        </w:rPr>
        <w:t>(3).</w:t>
      </w:r>
      <w:r>
        <w:rPr>
          <w:color w:val="231F20"/>
          <w:spacing w:val="21"/>
        </w:rPr>
        <w:t> </w:t>
      </w:r>
      <w:r>
        <w:rPr>
          <w:color w:val="231F20"/>
        </w:rPr>
        <w:t>When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paired</w:t>
      </w:r>
      <w:r>
        <w:rPr>
          <w:color w:val="231F20"/>
          <w:spacing w:val="-43"/>
        </w:rPr>
        <w:t> </w:t>
      </w:r>
      <w:r>
        <w:rPr>
          <w:color w:val="231F20"/>
        </w:rPr>
        <w:t>test was applied to all the data, no significant differences were</w:t>
      </w:r>
      <w:r>
        <w:rPr>
          <w:color w:val="231F20"/>
          <w:spacing w:val="1"/>
        </w:rPr>
        <w:t> </w:t>
      </w:r>
      <w:r>
        <w:rPr>
          <w:color w:val="231F20"/>
        </w:rPr>
        <w:t>observed.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pairing</w:t>
      </w:r>
      <w:r>
        <w:rPr>
          <w:color w:val="231F20"/>
          <w:spacing w:val="-2"/>
        </w:rPr>
        <w:t> </w:t>
      </w:r>
      <w:r>
        <w:rPr>
          <w:color w:val="231F20"/>
        </w:rPr>
        <w:t>tests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shown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Table</w:t>
      </w:r>
      <w:r>
        <w:rPr>
          <w:color w:val="231F20"/>
          <w:spacing w:val="-1"/>
        </w:rPr>
        <w:t> </w:t>
      </w:r>
      <w:r>
        <w:rPr>
          <w:color w:val="231F20"/>
        </w:rPr>
        <w:t>2.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>
          <w:color w:val="231F20"/>
        </w:rPr>
        <w:t>References</w:t>
      </w:r>
    </w:p>
    <w:p>
      <w:pPr>
        <w:pStyle w:val="BodyText"/>
        <w:rPr>
          <w:rFonts w:ascii="Arial"/>
          <w:b/>
          <w:sz w:val="22"/>
        </w:rPr>
      </w:pPr>
    </w:p>
    <w:p>
      <w:pPr>
        <w:spacing w:before="0"/>
        <w:ind w:left="200" w:right="0" w:firstLine="0"/>
        <w:jc w:val="both"/>
        <w:rPr>
          <w:sz w:val="16"/>
        </w:rPr>
      </w:pPr>
      <w:r>
        <w:rPr>
          <w:color w:val="231F20"/>
          <w:sz w:val="16"/>
        </w:rPr>
        <w:t>(1)</w:t>
      </w:r>
      <w:r>
        <w:rPr>
          <w:color w:val="231F20"/>
          <w:spacing w:val="77"/>
          <w:sz w:val="16"/>
        </w:rPr>
        <w:t> </w:t>
      </w:r>
      <w:r>
        <w:rPr>
          <w:color w:val="231F20"/>
          <w:sz w:val="16"/>
        </w:rPr>
        <w:t>Kjeldahl,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J.Z.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(1883)</w:t>
      </w:r>
      <w:r>
        <w:rPr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Anal.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Chem.</w:t>
      </w:r>
      <w:r>
        <w:rPr>
          <w:i/>
          <w:color w:val="231F20"/>
          <w:spacing w:val="-1"/>
          <w:sz w:val="16"/>
        </w:rPr>
        <w:t> </w:t>
      </w:r>
      <w:r>
        <w:rPr>
          <w:b/>
          <w:color w:val="231F20"/>
          <w:sz w:val="16"/>
        </w:rPr>
        <w:t>22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366–382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61" w:lineRule="auto" w:before="17" w:after="0"/>
        <w:ind w:left="546" w:right="863" w:hanging="347"/>
        <w:jc w:val="left"/>
        <w:rPr>
          <w:sz w:val="16"/>
        </w:rPr>
      </w:pPr>
      <w:r>
        <w:rPr>
          <w:i/>
          <w:color w:val="231F20"/>
          <w:spacing w:val="-1"/>
          <w:sz w:val="16"/>
        </w:rPr>
        <w:t>Official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1"/>
          <w:sz w:val="16"/>
        </w:rPr>
        <w:t>Methods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Analysis</w:t>
      </w:r>
      <w:r>
        <w:rPr>
          <w:i/>
          <w:color w:val="231F20"/>
          <w:spacing w:val="-1"/>
          <w:sz w:val="16"/>
        </w:rPr>
        <w:t> </w:t>
      </w:r>
      <w:r>
        <w:rPr>
          <w:color w:val="231F20"/>
          <w:sz w:val="16"/>
        </w:rPr>
        <w:t>(1995)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16th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Ed.,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AOAC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INTERNATIONAL,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Gaithersburg,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MD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240" w:lineRule="auto" w:before="0" w:after="0"/>
        <w:ind w:left="546" w:right="0" w:hanging="347"/>
        <w:jc w:val="left"/>
        <w:rPr>
          <w:i/>
          <w:sz w:val="16"/>
        </w:rPr>
      </w:pPr>
      <w:r>
        <w:rPr>
          <w:color w:val="231F20"/>
          <w:sz w:val="16"/>
        </w:rPr>
        <w:t>Keeping,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E.S.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(1995)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Introduction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Statistical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Inference</w:t>
      </w:r>
    </w:p>
    <w:p>
      <w:pPr>
        <w:spacing w:before="16"/>
        <w:ind w:left="546" w:right="0" w:firstLine="0"/>
        <w:jc w:val="left"/>
        <w:rPr>
          <w:sz w:val="16"/>
        </w:rPr>
      </w:pPr>
      <w:r>
        <w:rPr>
          <w:color w:val="231F20"/>
          <w:sz w:val="16"/>
        </w:rPr>
        <w:t>(1995)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Dover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Publications,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Inc.,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Mineola,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NY</w:t>
      </w:r>
    </w:p>
    <w:sectPr>
      <w:type w:val="continuous"/>
      <w:pgSz w:w="11880" w:h="15840"/>
      <w:pgMar w:top="700" w:bottom="280" w:left="1320" w:right="840"/>
      <w:cols w:num="2" w:equalWidth="0">
        <w:col w:w="4722" w:space="198"/>
        <w:col w:w="48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596" w:hanging="297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6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0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8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6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2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546" w:hanging="34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8" w:hanging="34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34" w:lineRule="exact"/>
    </w:pPr>
    <w:rPr>
      <w:rFonts w:ascii="Times New Roman" w:hAnsi="Times New Roman" w:eastAsia="Times New Roman" w:cs="Times New Roman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6" w:hanging="34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hojjatie@tkinet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Abrams ; David Metcalf ; Michael Hojjatie</dc:creator>
  <dc:title>Determination of Kjeldahl Nitrogen in Fertilizers by AOAC &lt;i&gt;Official Method&lt;/i&gt;&lt;sup&gt;SM&lt;/sup&gt; 978.02: Effect of Copper Sulfate as a Catalyst</dc:title>
  <dcterms:created xsi:type="dcterms:W3CDTF">2022-05-17T08:24:03Z</dcterms:created>
  <dcterms:modified xsi:type="dcterms:W3CDTF">2022-05-17T08:24:03Z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2015-10-27T00:00:00Z</vt:filetime>
  </property>
  <property fmtid="{D5CDD505-2E9C-101B-9397-08002B2CF9AE}" pid="3" name="LastSaved">
    <vt:filetime>2022-05-17T00:00:00Z</vt:filetime>
  </property>
</Properties>
</file>