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80"/>
        <w:jc w:val="center"/>
      </w:pPr>
      <w:r>
        <w:rPr>
          <w:b/>
          <w:bCs/>
          <w:color w:val="595959"/>
          <w:sz w:val="24"/>
          <w:szCs w:val="24"/>
        </w:rPr>
        <w:t xml:space="preserve">Bunna Bank S.C.</w:t>
      </w:r>
    </w:p>
    <w:p>
      <w:pPr>
        <w:spacing w:after="240"/>
        <w:jc w:val="center"/>
      </w:pPr>
      <w:r>
        <w:rPr>
          <w:color w:val="595959"/>
          <w:sz w:val="22"/>
          <w:szCs w:val="22"/>
        </w:rPr>
        <w:t xml:space="preserve">People Performance and Development Directorate</w:t>
      </w:r>
    </w:p>
    <w:p>
      <w:pPr>
        <w:spacing w:after="120"/>
        <w:jc w:val="center"/>
      </w:pPr>
      <w:r>
        <w:rPr>
          <w:b/>
          <w:bCs/>
          <w:color w:val="1F3864"/>
          <w:sz w:val="40"/>
          <w:szCs w:val="40"/>
        </w:rPr>
        <w:t xml:space="preserve">Employee Development System (EDS)</w:t>
      </w:r>
    </w:p>
    <w:p>
      <w:pPr>
        <w:spacing w:after="400"/>
        <w:jc w:val="center"/>
      </w:pPr>
      <w:r>
        <w:rPr>
          <w:b/>
          <w:bCs/>
          <w:color w:val="2E5395"/>
          <w:sz w:val="30"/>
          <w:szCs w:val="30"/>
        </w:rPr>
        <w:t xml:space="preserve">Revised Implementation Plan — Bank-Intranet Scope</w:t>
      </w:r>
    </w:p>
    <w:p>
      <w:pPr>
        <w:spacing w:after="40"/>
        <w:jc w:val="center"/>
      </w:pPr>
      <w:r>
        <w:rPr>
          <w:color w:val="595959"/>
          <w:sz w:val="20"/>
          <w:szCs w:val="20"/>
        </w:rPr>
        <w:t xml:space="preserve">Reference: BRD for ERP System Enhancement and Upgrading — Part 2, §7 (Module 7)</w:t>
      </w:r>
    </w:p>
    <w:p>
      <w:pPr>
        <w:spacing w:after="40"/>
        <w:jc w:val="center"/>
      </w:pPr>
      <w:r>
        <w:rPr>
          <w:color w:val="595959"/>
          <w:sz w:val="20"/>
          <w:szCs w:val="20"/>
        </w:rPr>
        <w:t xml:space="preserve">Codebase reviewed: employee_development_system v19.0.1.0.0, competency_management</w:t>
      </w:r>
    </w:p>
    <w:p>
      <w:pPr>
        <w:spacing w:after="600"/>
        <w:jc w:val="center"/>
      </w:pPr>
      <w:r>
        <w:rPr>
          <w:color w:val="595959"/>
          <w:sz w:val="20"/>
          <w:szCs w:val="20"/>
        </w:rPr>
        <w:t xml:space="preserve">September 2026</w:t>
      </w:r>
    </w:p>
    <w:p>
      <w:r>
        <w:br w:type="page"/>
      </w:r>
    </w:p>
    <w:p>
      <w:pPr>
        <w:pStyle w:val="Heading1"/>
        <w:spacing w:after="160" w:before="320"/>
      </w:pPr>
      <w:r>
        <w:t xml:space="preserve">Contents</w:t>
      </w:r>
    </w:p>
    <w:p>
      <w:pPr>
        <w:spacing w:after="100"/>
      </w:pPr>
      <w:r>
        <w:rPr>
          <w:color w:val="1F1F1F"/>
          <w:sz w:val="22"/>
          <w:szCs w:val="22"/>
        </w:rPr>
        <w:t xml:space="preserve">1. Purpose of This Plan</w:t>
      </w:r>
    </w:p>
    <w:p>
      <w:pPr>
        <w:spacing w:after="100"/>
      </w:pPr>
      <w:r>
        <w:rPr>
          <w:color w:val="1F1F1F"/>
          <w:sz w:val="22"/>
          <w:szCs w:val="22"/>
        </w:rPr>
        <w:t xml:space="preserve">2. Deployment Context &amp; Guiding Principle</w:t>
      </w:r>
    </w:p>
    <w:p>
      <w:pPr>
        <w:spacing w:after="100"/>
      </w:pPr>
      <w:r>
        <w:rPr>
          <w:color w:val="1F1F1F"/>
          <w:sz w:val="22"/>
          <w:szCs w:val="22"/>
        </w:rPr>
        <w:t xml:space="preserve">3. Current Build Status</w:t>
      </w:r>
    </w:p>
    <w:p>
      <w:pPr>
        <w:spacing w:after="100"/>
      </w:pPr>
      <w:r>
        <w:rPr>
          <w:color w:val="1F1F1F"/>
          <w:sz w:val="22"/>
          <w:szCs w:val="22"/>
        </w:rPr>
        <w:t xml:space="preserve">4. Scope Decision – What Changes and Why</w:t>
      </w:r>
    </w:p>
    <w:p>
      <w:pPr>
        <w:spacing w:after="100"/>
      </w:pPr>
      <w:r>
        <w:rPr>
          <w:color w:val="1F1F1F"/>
          <w:sz w:val="22"/>
          <w:szCs w:val="22"/>
        </w:rPr>
        <w:t xml:space="preserve">5. Template-Based Import – Design Principles</w:t>
      </w:r>
    </w:p>
    <w:p>
      <w:pPr>
        <w:spacing w:after="100"/>
      </w:pPr>
      <w:r>
        <w:rPr>
          <w:color w:val="1F1F1F"/>
          <w:sz w:val="22"/>
          <w:szCs w:val="22"/>
        </w:rPr>
        <w:t xml:space="preserve">6. Revised Training Lifecycle</w:t>
      </w:r>
    </w:p>
    <w:p>
      <w:pPr>
        <w:spacing w:after="100"/>
      </w:pPr>
      <w:r>
        <w:rPr>
          <w:color w:val="1F1F1F"/>
          <w:sz w:val="22"/>
          <w:szCs w:val="22"/>
        </w:rPr>
        <w:t xml:space="preserve">7. Data Model Impact</w:t>
      </w:r>
    </w:p>
    <w:p>
      <w:pPr>
        <w:spacing w:after="100"/>
      </w:pPr>
      <w:r>
        <w:rPr>
          <w:color w:val="1F1F1F"/>
          <w:sz w:val="22"/>
          <w:szCs w:val="22"/>
        </w:rPr>
        <w:t xml:space="preserve">8. Integration Points – Competency, KMS, LMS, PMS, Payroll/Finance</w:t>
      </w:r>
    </w:p>
    <w:p>
      <w:pPr>
        <w:spacing w:after="100"/>
      </w:pPr>
      <w:r>
        <w:rPr>
          <w:color w:val="1F1F1F"/>
          <w:sz w:val="22"/>
          <w:szCs w:val="22"/>
        </w:rPr>
        <w:t xml:space="preserve">9. Security, Audit &amp; Access Control</w:t>
      </w:r>
    </w:p>
    <w:p>
      <w:pPr>
        <w:spacing w:after="100"/>
      </w:pPr>
      <w:r>
        <w:rPr>
          <w:color w:val="1F1F1F"/>
          <w:sz w:val="22"/>
          <w:szCs w:val="22"/>
        </w:rPr>
        <w:t xml:space="preserve">10. Implementation Phases</w:t>
      </w:r>
    </w:p>
    <w:p>
      <w:pPr>
        <w:spacing w:after="100"/>
      </w:pPr>
      <w:r>
        <w:rPr>
          <w:color w:val="1F1F1F"/>
          <w:sz w:val="22"/>
          <w:szCs w:val="22"/>
        </w:rPr>
        <w:t xml:space="preserve">11. Risks &amp; Assumptions</w:t>
      </w:r>
    </w:p>
    <w:p>
      <w:pPr>
        <w:spacing w:after="100"/>
      </w:pPr>
      <w:r>
        <w:rPr>
          <w:color w:val="1F1F1F"/>
          <w:sz w:val="22"/>
          <w:szCs w:val="22"/>
        </w:rPr>
        <w:t xml:space="preserve">12. Summary</w:t>
      </w:r>
    </w:p>
    <w:p>
      <w:r>
        <w:br w:type="page"/>
      </w:r>
    </w:p>
    <w:p>
      <w:pPr>
        <w:pStyle w:val="Heading1"/>
        <w:spacing w:after="160" w:before="320"/>
      </w:pPr>
      <w:r>
        <w:t xml:space="preserve">1. Purpose of This Plan</w:t>
      </w:r>
    </w:p>
    <w:p>
      <w:pPr>
        <w:spacing w:after="160" w:line="276"/>
      </w:pPr>
      <w:r>
        <w:t xml:space="preserve">This plan operationalises the requirement already delivered in “Module 7 – EDS Classroom Training Management” (BRD Part 2, §7) against the Employee Development System (EDS) module that has already been built and marked complete for all 15 delivery tasks. It adjusts the scope to match how Bunna Bank will actually run the system: entirely inside the Bank’s own private network, reachable from every branch, with no external party – vendor, contracted trainer, or trainee acting through a public link – ever logging into the system directly.</w:t>
      </w:r>
    </w:p>
    <w:p>
      <w:pPr>
        <w:spacing w:after="160" w:line="276"/>
      </w:pPr>
      <w:r>
        <w:t xml:space="preserve">It also cross-checks the revised EDS scope against the Competency Management module (already built) and the BRD requirements for the Knowledge Management System (KMS) and Learning Management System (LMS, BRD Part 3), so that EDS neither duplicates functionality that belongs in those systems nor loses the logic that ties classroom training back to the Bank’s competency framework.</w:t>
      </w:r>
    </w:p>
    <w:p>
      <w:pPr>
        <w:pStyle w:val="Heading1"/>
        <w:spacing w:after="160" w:before="320"/>
      </w:pPr>
      <w:r>
        <w:t xml:space="preserve">2. Deployment Context &amp; Guiding Principle</w:t>
      </w:r>
    </w:p>
    <w:p>
      <w:pPr>
        <w:spacing w:after="160" w:line="276"/>
      </w:pPr>
      <w:r>
        <w:t xml:space="preserve">Bunna Bank’s ERP, including EDS, runs on a private bank network connecting Head Office and all branches. There is no public-facing website, vendor portal, or trainee self-service link anywhere in the current codebase – confirmed by inspection (no HTTP controllers, no portal.mixin usage beyond an unused manifest dependency).</w:t>
      </w:r>
    </w:p>
    <w:p>
      <w:pPr>
        <w:spacing w:after="160" w:line="276"/>
      </w:pPr>
      <w:r>
        <w:rPr>
          <w:b/>
          <w:bCs/>
        </w:rPr>
        <w:t xml:space="preserve">Guiding principle for this revision:</w:t>
      </w:r>
    </w:p>
    <w:p>
      <w:pPr>
        <w:pStyle w:val="ListParagraph"/>
        <w:numPr>
          <w:ilvl w:val="0"/>
          <w:numId w:val="2"/>
        </w:numPr>
        <w:spacing w:after="80" w:line="276"/>
      </w:pPr>
      <w:r>
        <w:t xml:space="preserve">Any workflow step in the original BRD that assumed an external party interacts with the system directly – a vendor submitting a bid, a contracted trainer keying in exam scores, a trainee taking an online test – is descoped from EDS.</w:t>
      </w:r>
    </w:p>
    <w:p>
      <w:pPr>
        <w:pStyle w:val="ListParagraph"/>
        <w:numPr>
          <w:ilvl w:val="0"/>
          <w:numId w:val="2"/>
        </w:numPr>
        <w:spacing w:after="80" w:line="276"/>
      </w:pPr>
      <w:r>
        <w:t xml:space="preserve">The same information is still captured, but after the fact and in bulk: either manual entry by an L&amp;D officer, or a template-based import (Excel/CSV) that L&amp;D uploads once data has been collected on paper or received from another Bank system.</w:t>
      </w:r>
    </w:p>
    <w:p>
      <w:pPr>
        <w:pStyle w:val="ListParagraph"/>
        <w:numPr>
          <w:ilvl w:val="0"/>
          <w:numId w:val="2"/>
        </w:numPr>
        <w:spacing w:after="80" w:line="276"/>
      </w:pPr>
      <w:r>
        <w:t xml:space="preserve">Nothing that already happens purely between Bank staff on the intranet (manager approvals, L&amp;D data entry, manager behavioural observation) needs to change – it was never “external” in the first place.</w:t>
      </w:r>
    </w:p>
    <w:p>
      <w:pPr>
        <w:pStyle w:val="Heading1"/>
        <w:spacing w:after="160" w:before="320"/>
      </w:pPr>
      <w:r>
        <w:t xml:space="preserve">3. Current Build Status</w:t>
      </w:r>
    </w:p>
    <w:p>
      <w:pPr>
        <w:spacing w:after="160" w:line="276"/>
      </w:pPr>
      <w:r>
        <w:t xml:space="preserve">The employee_development_system module (v19.0.1.0.0) already implements all 15 weighted delivery tasks from the BRD. The table below shows which of those tasks are affected by this scope revision.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00"/>
        <w:gridCol w:w="6600"/>
        <w:gridCol w:w="3000"/>
      </w:tblGrid>
      <w:tr>
        <w:trPr>
          <w:tblHeader/>
        </w:trPr>
        <w:tc>
          <w:tcPr>
            <w:tcW w:type="dxa" w:w="500"/>
            <w:shd w:fill="1F3864" w:val="clear"/>
            <w:tcMar>
              <w:top w:type="dxa" w:w="60"/>
              <w:left w:type="dxa" w:w="100"/>
              <w:bottom w:type="dxa" w:w="60"/>
              <w:right w:type="dxa" w:w="100"/>
            </w:tcMar>
          </w:tcPr>
          <w:p>
            <w:pPr>
              <w:spacing w:after="0"/>
            </w:pPr>
            <w:r>
              <w:rPr>
                <w:b/>
                <w:bCs/>
                <w:color w:val="FFFFFF"/>
                <w:sz w:val="19"/>
                <w:szCs w:val="19"/>
              </w:rPr>
              <w:t xml:space="preserve">#</w:t>
            </w:r>
          </w:p>
        </w:tc>
        <w:tc>
          <w:tcPr>
            <w:tcW w:type="dxa" w:w="6600"/>
            <w:shd w:fill="1F3864" w:val="clear"/>
            <w:tcMar>
              <w:top w:type="dxa" w:w="60"/>
              <w:left w:type="dxa" w:w="100"/>
              <w:bottom w:type="dxa" w:w="60"/>
              <w:right w:type="dxa" w:w="100"/>
            </w:tcMar>
          </w:tcPr>
          <w:p>
            <w:pPr>
              <w:spacing w:after="0"/>
            </w:pPr>
            <w:r>
              <w:rPr>
                <w:b/>
                <w:bCs/>
                <w:color w:val="FFFFFF"/>
                <w:sz w:val="19"/>
                <w:szCs w:val="19"/>
              </w:rPr>
              <w:t xml:space="preserve">Task</w:t>
            </w:r>
          </w:p>
        </w:tc>
        <w:tc>
          <w:tcPr>
            <w:tcW w:type="dxa" w:w="3000"/>
            <w:shd w:fill="1F3864" w:val="clear"/>
            <w:tcMar>
              <w:top w:type="dxa" w:w="60"/>
              <w:left w:type="dxa" w:w="100"/>
              <w:bottom w:type="dxa" w:w="60"/>
              <w:right w:type="dxa" w:w="100"/>
            </w:tcMar>
          </w:tcPr>
          <w:p>
            <w:pPr>
              <w:spacing w:after="0"/>
            </w:pPr>
            <w:r>
              <w:rPr>
                <w:b/>
                <w:bCs/>
                <w:color w:val="FFFFFF"/>
                <w:sz w:val="19"/>
                <w:szCs w:val="19"/>
              </w:rPr>
              <w:t xml:space="preserve">Impact of this revision</w:t>
            </w:r>
          </w:p>
        </w:tc>
      </w:tr>
      <w:tr>
        <w:tc>
          <w:tcPr>
            <w:tcW w:type="dxa" w:w="500"/>
            <w:tcMar>
              <w:top w:type="dxa" w:w="60"/>
              <w:left w:type="dxa" w:w="100"/>
              <w:bottom w:type="dxa" w:w="60"/>
              <w:right w:type="dxa" w:w="100"/>
            </w:tcMar>
          </w:tcPr>
          <w:p>
            <w:pPr>
              <w:spacing w:after="0"/>
            </w:pPr>
            <w:r>
              <w:rPr>
                <w:b w:val="false"/>
                <w:bCs w:val="false"/>
                <w:color w:val="000000"/>
                <w:sz w:val="19"/>
                <w:szCs w:val="19"/>
              </w:rPr>
              <w:t xml:space="preserve">1</w:t>
            </w:r>
          </w:p>
        </w:tc>
        <w:tc>
          <w:tcPr>
            <w:tcW w:type="dxa" w:w="6600"/>
            <w:tcMar>
              <w:top w:type="dxa" w:w="60"/>
              <w:left w:type="dxa" w:w="100"/>
              <w:bottom w:type="dxa" w:w="60"/>
              <w:right w:type="dxa" w:w="100"/>
            </w:tcMar>
          </w:tcPr>
          <w:p>
            <w:pPr>
              <w:spacing w:after="0"/>
            </w:pPr>
            <w:r>
              <w:rPr>
                <w:b w:val="false"/>
                <w:bCs w:val="false"/>
                <w:color w:val="000000"/>
                <w:sz w:val="19"/>
                <w:szCs w:val="19"/>
              </w:rPr>
              <w:t xml:space="preserve">TNA Capture &amp; Configuration (cycle + entries)</w:t>
            </w:r>
          </w:p>
        </w:tc>
        <w:tc>
          <w:tcPr>
            <w:tcW w:type="dxa" w:w="3000"/>
            <w:tcMar>
              <w:top w:type="dxa" w:w="60"/>
              <w:left w:type="dxa" w:w="100"/>
              <w:bottom w:type="dxa" w:w="60"/>
              <w:right w:type="dxa" w:w="100"/>
            </w:tcMar>
          </w:tcPr>
          <w:p>
            <w:pPr>
              <w:spacing w:after="0"/>
            </w:pPr>
            <w:r>
              <w:rPr>
                <w:b w:val="false"/>
                <w:bCs w:val="false"/>
                <w:color w:val="000000"/>
                <w:sz w:val="19"/>
                <w:szCs w:val="19"/>
              </w:rPr>
              <w:t xml:space="preserve">No change</w:t>
            </w:r>
          </w:p>
        </w:tc>
      </w:tr>
      <w:tr>
        <w:tc>
          <w:tcPr>
            <w:tcW w:type="dxa" w:w="500"/>
            <w:shd w:fill="DCE6F1" w:val="clear"/>
            <w:tcMar>
              <w:top w:type="dxa" w:w="60"/>
              <w:left w:type="dxa" w:w="100"/>
              <w:bottom w:type="dxa" w:w="60"/>
              <w:right w:type="dxa" w:w="100"/>
            </w:tcMar>
          </w:tcPr>
          <w:p>
            <w:pPr>
              <w:spacing w:after="0"/>
            </w:pPr>
            <w:r>
              <w:rPr>
                <w:b w:val="false"/>
                <w:bCs w:val="false"/>
                <w:color w:val="000000"/>
                <w:sz w:val="19"/>
                <w:szCs w:val="19"/>
              </w:rPr>
              <w:t xml:space="preserve">2</w:t>
            </w:r>
          </w:p>
        </w:tc>
        <w:tc>
          <w:tcPr>
            <w:tcW w:type="dxa" w:w="6600"/>
            <w:shd w:fill="DCE6F1" w:val="clear"/>
            <w:tcMar>
              <w:top w:type="dxa" w:w="60"/>
              <w:left w:type="dxa" w:w="100"/>
              <w:bottom w:type="dxa" w:w="60"/>
              <w:right w:type="dxa" w:w="100"/>
            </w:tcMar>
          </w:tcPr>
          <w:p>
            <w:pPr>
              <w:spacing w:after="0"/>
            </w:pPr>
            <w:r>
              <w:rPr>
                <w:b w:val="false"/>
                <w:bCs w:val="false"/>
                <w:color w:val="000000"/>
                <w:sz w:val="19"/>
                <w:szCs w:val="19"/>
              </w:rPr>
              <w:t xml:space="preserve">TNA Consolidation, Prioritization &amp; Approval</w:t>
            </w:r>
          </w:p>
        </w:tc>
        <w:tc>
          <w:tcPr>
            <w:tcW w:type="dxa" w:w="3000"/>
            <w:shd w:fill="DCE6F1" w:val="clear"/>
            <w:tcMar>
              <w:top w:type="dxa" w:w="60"/>
              <w:left w:type="dxa" w:w="100"/>
              <w:bottom w:type="dxa" w:w="60"/>
              <w:right w:type="dxa" w:w="100"/>
            </w:tcMar>
          </w:tcPr>
          <w:p>
            <w:pPr>
              <w:spacing w:after="0"/>
            </w:pPr>
            <w:r>
              <w:rPr>
                <w:b w:val="false"/>
                <w:bCs w:val="false"/>
                <w:color w:val="000000"/>
                <w:sz w:val="19"/>
                <w:szCs w:val="19"/>
              </w:rPr>
              <w:t xml:space="preserve">No change</w:t>
            </w:r>
          </w:p>
        </w:tc>
      </w:tr>
      <w:tr>
        <w:tc>
          <w:tcPr>
            <w:tcW w:type="dxa" w:w="500"/>
            <w:tcMar>
              <w:top w:type="dxa" w:w="60"/>
              <w:left w:type="dxa" w:w="100"/>
              <w:bottom w:type="dxa" w:w="60"/>
              <w:right w:type="dxa" w:w="100"/>
            </w:tcMar>
          </w:tcPr>
          <w:p>
            <w:pPr>
              <w:spacing w:after="0"/>
            </w:pPr>
            <w:r>
              <w:rPr>
                <w:b w:val="false"/>
                <w:bCs w:val="false"/>
                <w:color w:val="000000"/>
                <w:sz w:val="19"/>
                <w:szCs w:val="19"/>
              </w:rPr>
              <w:t xml:space="preserve">3</w:t>
            </w:r>
          </w:p>
        </w:tc>
        <w:tc>
          <w:tcPr>
            <w:tcW w:type="dxa" w:w="6600"/>
            <w:tcMar>
              <w:top w:type="dxa" w:w="60"/>
              <w:left w:type="dxa" w:w="100"/>
              <w:bottom w:type="dxa" w:w="60"/>
              <w:right w:type="dxa" w:w="100"/>
            </w:tcMar>
          </w:tcPr>
          <w:p>
            <w:pPr>
              <w:spacing w:after="0"/>
            </w:pPr>
            <w:r>
              <w:rPr>
                <w:b w:val="false"/>
                <w:bCs w:val="false"/>
                <w:color w:val="000000"/>
                <w:sz w:val="19"/>
                <w:szCs w:val="19"/>
              </w:rPr>
              <w:t xml:space="preserve">Training Program &amp; Course Catalog Setup</w:t>
            </w:r>
          </w:p>
        </w:tc>
        <w:tc>
          <w:tcPr>
            <w:tcW w:type="dxa" w:w="3000"/>
            <w:tcMar>
              <w:top w:type="dxa" w:w="60"/>
              <w:left w:type="dxa" w:w="100"/>
              <w:bottom w:type="dxa" w:w="60"/>
              <w:right w:type="dxa" w:w="100"/>
            </w:tcMar>
          </w:tcPr>
          <w:p>
            <w:pPr>
              <w:spacing w:after="0"/>
            </w:pPr>
            <w:r>
              <w:rPr>
                <w:b w:val="false"/>
                <w:bCs w:val="false"/>
                <w:color w:val="000000"/>
                <w:sz w:val="19"/>
                <w:szCs w:val="19"/>
              </w:rPr>
              <w:t xml:space="preserve">No change</w:t>
            </w:r>
          </w:p>
        </w:tc>
      </w:tr>
      <w:tr>
        <w:tc>
          <w:tcPr>
            <w:tcW w:type="dxa" w:w="500"/>
            <w:shd w:fill="DCE6F1" w:val="clear"/>
            <w:tcMar>
              <w:top w:type="dxa" w:w="60"/>
              <w:left w:type="dxa" w:w="100"/>
              <w:bottom w:type="dxa" w:w="60"/>
              <w:right w:type="dxa" w:w="100"/>
            </w:tcMar>
          </w:tcPr>
          <w:p>
            <w:pPr>
              <w:spacing w:after="0"/>
            </w:pPr>
            <w:r>
              <w:rPr>
                <w:b w:val="false"/>
                <w:bCs w:val="false"/>
                <w:color w:val="000000"/>
                <w:sz w:val="19"/>
                <w:szCs w:val="19"/>
              </w:rPr>
              <w:t xml:space="preserve">4</w:t>
            </w:r>
          </w:p>
        </w:tc>
        <w:tc>
          <w:tcPr>
            <w:tcW w:type="dxa" w:w="6600"/>
            <w:shd w:fill="DCE6F1" w:val="clear"/>
            <w:tcMar>
              <w:top w:type="dxa" w:w="60"/>
              <w:left w:type="dxa" w:w="100"/>
              <w:bottom w:type="dxa" w:w="60"/>
              <w:right w:type="dxa" w:w="100"/>
            </w:tcMar>
          </w:tcPr>
          <w:p>
            <w:pPr>
              <w:spacing w:after="0"/>
            </w:pPr>
            <w:r>
              <w:rPr>
                <w:b w:val="false"/>
                <w:bCs w:val="false"/>
                <w:color w:val="000000"/>
                <w:sz w:val="19"/>
                <w:szCs w:val="19"/>
              </w:rPr>
              <w:t xml:space="preserve">Trainer Profile &amp; Qualification Management</w:t>
            </w:r>
          </w:p>
        </w:tc>
        <w:tc>
          <w:tcPr>
            <w:tcW w:type="dxa" w:w="3000"/>
            <w:shd w:fill="DCE6F1" w:val="clear"/>
            <w:tcMar>
              <w:top w:type="dxa" w:w="60"/>
              <w:left w:type="dxa" w:w="100"/>
              <w:bottom w:type="dxa" w:w="60"/>
              <w:right w:type="dxa" w:w="100"/>
            </w:tcMar>
          </w:tcPr>
          <w:p>
            <w:pPr>
              <w:spacing w:after="0"/>
            </w:pPr>
            <w:r>
              <w:rPr>
                <w:b w:val="false"/>
                <w:bCs w:val="false"/>
                <w:color w:val="000000"/>
                <w:sz w:val="19"/>
                <w:szCs w:val="19"/>
              </w:rPr>
              <w:t xml:space="preserve">No change</w:t>
            </w:r>
          </w:p>
        </w:tc>
      </w:tr>
      <w:tr>
        <w:tc>
          <w:tcPr>
            <w:tcW w:type="dxa" w:w="500"/>
            <w:tcMar>
              <w:top w:type="dxa" w:w="60"/>
              <w:left w:type="dxa" w:w="100"/>
              <w:bottom w:type="dxa" w:w="60"/>
              <w:right w:type="dxa" w:w="100"/>
            </w:tcMar>
          </w:tcPr>
          <w:p>
            <w:pPr>
              <w:spacing w:after="0"/>
            </w:pPr>
            <w:r>
              <w:rPr>
                <w:b w:val="false"/>
                <w:bCs w:val="false"/>
                <w:color w:val="000000"/>
                <w:sz w:val="19"/>
                <w:szCs w:val="19"/>
              </w:rPr>
              <w:t xml:space="preserve">5</w:t>
            </w:r>
          </w:p>
        </w:tc>
        <w:tc>
          <w:tcPr>
            <w:tcW w:type="dxa" w:w="6600"/>
            <w:tcMar>
              <w:top w:type="dxa" w:w="60"/>
              <w:left w:type="dxa" w:w="100"/>
              <w:bottom w:type="dxa" w:w="60"/>
              <w:right w:type="dxa" w:w="100"/>
            </w:tcMar>
          </w:tcPr>
          <w:p>
            <w:pPr>
              <w:spacing w:after="0"/>
            </w:pPr>
            <w:r>
              <w:rPr>
                <w:b w:val="false"/>
                <w:bCs w:val="false"/>
                <w:color w:val="000000"/>
                <w:sz w:val="19"/>
                <w:szCs w:val="19"/>
              </w:rPr>
              <w:t xml:space="preserve">Session Scheduling &amp; Venue/Resource Booking</w:t>
            </w:r>
          </w:p>
        </w:tc>
        <w:tc>
          <w:tcPr>
            <w:tcW w:type="dxa" w:w="3000"/>
            <w:tcMar>
              <w:top w:type="dxa" w:w="60"/>
              <w:left w:type="dxa" w:w="100"/>
              <w:bottom w:type="dxa" w:w="60"/>
              <w:right w:type="dxa" w:w="100"/>
            </w:tcMar>
          </w:tcPr>
          <w:p>
            <w:pPr>
              <w:spacing w:after="0"/>
            </w:pPr>
            <w:r>
              <w:rPr>
                <w:b w:val="false"/>
                <w:bCs w:val="false"/>
                <w:color w:val="000000"/>
                <w:sz w:val="19"/>
                <w:szCs w:val="19"/>
              </w:rPr>
              <w:t xml:space="preserve">No change</w:t>
            </w:r>
          </w:p>
        </w:tc>
      </w:tr>
      <w:tr>
        <w:tc>
          <w:tcPr>
            <w:tcW w:type="dxa" w:w="500"/>
            <w:shd w:fill="DCE6F1" w:val="clear"/>
            <w:tcMar>
              <w:top w:type="dxa" w:w="60"/>
              <w:left w:type="dxa" w:w="100"/>
              <w:bottom w:type="dxa" w:w="60"/>
              <w:right w:type="dxa" w:w="100"/>
            </w:tcMar>
          </w:tcPr>
          <w:p>
            <w:pPr>
              <w:spacing w:after="0"/>
            </w:pPr>
            <w:r>
              <w:rPr>
                <w:b w:val="false"/>
                <w:bCs w:val="false"/>
                <w:color w:val="000000"/>
                <w:sz w:val="19"/>
                <w:szCs w:val="19"/>
              </w:rPr>
              <w:t xml:space="preserve">6</w:t>
            </w:r>
          </w:p>
        </w:tc>
        <w:tc>
          <w:tcPr>
            <w:tcW w:type="dxa" w:w="6600"/>
            <w:shd w:fill="DCE6F1" w:val="clear"/>
            <w:tcMar>
              <w:top w:type="dxa" w:w="60"/>
              <w:left w:type="dxa" w:w="100"/>
              <w:bottom w:type="dxa" w:w="60"/>
              <w:right w:type="dxa" w:w="100"/>
            </w:tcMar>
          </w:tcPr>
          <w:p>
            <w:pPr>
              <w:spacing w:after="0"/>
            </w:pPr>
            <w:r>
              <w:rPr>
                <w:b w:val="false"/>
                <w:bCs w:val="false"/>
                <w:color w:val="000000"/>
                <w:sz w:val="19"/>
                <w:szCs w:val="19"/>
              </w:rPr>
              <w:t xml:space="preserve">Nomination, Approval &amp; Enrollment Workflow</w:t>
            </w:r>
          </w:p>
        </w:tc>
        <w:tc>
          <w:tcPr>
            <w:tcW w:type="dxa" w:w="3000"/>
            <w:shd w:fill="DCE6F1" w:val="clear"/>
            <w:tcMar>
              <w:top w:type="dxa" w:w="60"/>
              <w:left w:type="dxa" w:w="100"/>
              <w:bottom w:type="dxa" w:w="60"/>
              <w:right w:type="dxa" w:w="100"/>
            </w:tcMar>
          </w:tcPr>
          <w:p>
            <w:pPr>
              <w:spacing w:after="0"/>
            </w:pPr>
            <w:r>
              <w:rPr>
                <w:b w:val="false"/>
                <w:bCs w:val="false"/>
                <w:color w:val="000000"/>
                <w:sz w:val="19"/>
                <w:szCs w:val="19"/>
              </w:rPr>
              <w:t xml:space="preserve">No change</w:t>
            </w:r>
          </w:p>
        </w:tc>
      </w:tr>
      <w:tr>
        <w:tc>
          <w:tcPr>
            <w:tcW w:type="dxa" w:w="500"/>
            <w:tcMar>
              <w:top w:type="dxa" w:w="60"/>
              <w:left w:type="dxa" w:w="100"/>
              <w:bottom w:type="dxa" w:w="60"/>
              <w:right w:type="dxa" w:w="100"/>
            </w:tcMar>
          </w:tcPr>
          <w:p>
            <w:pPr>
              <w:spacing w:after="0"/>
            </w:pPr>
            <w:r>
              <w:rPr>
                <w:b w:val="false"/>
                <w:bCs w:val="false"/>
                <w:color w:val="000000"/>
                <w:sz w:val="19"/>
                <w:szCs w:val="19"/>
              </w:rPr>
              <w:t xml:space="preserve">7</w:t>
            </w:r>
          </w:p>
        </w:tc>
        <w:tc>
          <w:tcPr>
            <w:tcW w:type="dxa" w:w="6600"/>
            <w:tcMar>
              <w:top w:type="dxa" w:w="60"/>
              <w:left w:type="dxa" w:w="100"/>
              <w:bottom w:type="dxa" w:w="60"/>
              <w:right w:type="dxa" w:w="100"/>
            </w:tcMar>
          </w:tcPr>
          <w:p>
            <w:pPr>
              <w:spacing w:after="0"/>
            </w:pPr>
            <w:r>
              <w:rPr>
                <w:b w:val="false"/>
                <w:bCs w:val="false"/>
                <w:color w:val="000000"/>
                <w:sz w:val="19"/>
                <w:szCs w:val="19"/>
              </w:rPr>
              <w:t xml:space="preserve">Attendance &amp; Delivery Tracking</w:t>
            </w:r>
          </w:p>
        </w:tc>
        <w:tc>
          <w:tcPr>
            <w:tcW w:type="dxa" w:w="3000"/>
            <w:tcMar>
              <w:top w:type="dxa" w:w="60"/>
              <w:left w:type="dxa" w:w="100"/>
              <w:bottom w:type="dxa" w:w="60"/>
              <w:right w:type="dxa" w:w="100"/>
            </w:tcMar>
          </w:tcPr>
          <w:p>
            <w:pPr>
              <w:spacing w:after="0"/>
            </w:pPr>
            <w:r>
              <w:rPr>
                <w:b w:val="false"/>
                <w:bCs w:val="false"/>
                <w:color w:val="000000"/>
                <w:sz w:val="19"/>
                <w:szCs w:val="19"/>
              </w:rPr>
              <w:t xml:space="preserve">Data-entry method revised (import)</w:t>
            </w:r>
          </w:p>
        </w:tc>
      </w:tr>
      <w:tr>
        <w:tc>
          <w:tcPr>
            <w:tcW w:type="dxa" w:w="500"/>
            <w:shd w:fill="DCE6F1" w:val="clear"/>
            <w:tcMar>
              <w:top w:type="dxa" w:w="60"/>
              <w:left w:type="dxa" w:w="100"/>
              <w:bottom w:type="dxa" w:w="60"/>
              <w:right w:type="dxa" w:w="100"/>
            </w:tcMar>
          </w:tcPr>
          <w:p>
            <w:pPr>
              <w:spacing w:after="0"/>
            </w:pPr>
            <w:r>
              <w:rPr>
                <w:b w:val="false"/>
                <w:bCs w:val="false"/>
                <w:color w:val="000000"/>
                <w:sz w:val="19"/>
                <w:szCs w:val="19"/>
              </w:rPr>
              <w:t xml:space="preserve">8</w:t>
            </w:r>
          </w:p>
        </w:tc>
        <w:tc>
          <w:tcPr>
            <w:tcW w:type="dxa" w:w="6600"/>
            <w:shd w:fill="DCE6F1" w:val="clear"/>
            <w:tcMar>
              <w:top w:type="dxa" w:w="60"/>
              <w:left w:type="dxa" w:w="100"/>
              <w:bottom w:type="dxa" w:w="60"/>
              <w:right w:type="dxa" w:w="100"/>
            </w:tcMar>
          </w:tcPr>
          <w:p>
            <w:pPr>
              <w:spacing w:after="0"/>
            </w:pPr>
            <w:r>
              <w:rPr>
                <w:b w:val="false"/>
                <w:bCs w:val="false"/>
                <w:color w:val="000000"/>
                <w:sz w:val="19"/>
                <w:szCs w:val="19"/>
              </w:rPr>
              <w:t xml:space="preserve">Evaluation Engine – Level 1 &amp; 2</w:t>
            </w:r>
          </w:p>
        </w:tc>
        <w:tc>
          <w:tcPr>
            <w:tcW w:type="dxa" w:w="3000"/>
            <w:shd w:fill="DCE6F1" w:val="clear"/>
            <w:tcMar>
              <w:top w:type="dxa" w:w="60"/>
              <w:left w:type="dxa" w:w="100"/>
              <w:bottom w:type="dxa" w:w="60"/>
              <w:right w:type="dxa" w:w="100"/>
            </w:tcMar>
          </w:tcPr>
          <w:p>
            <w:pPr>
              <w:spacing w:after="0"/>
            </w:pPr>
            <w:r>
              <w:rPr>
                <w:b w:val="false"/>
                <w:bCs w:val="false"/>
                <w:color w:val="000000"/>
                <w:sz w:val="19"/>
                <w:szCs w:val="19"/>
              </w:rPr>
              <w:t xml:space="preserve">Data-entry method revised (import)</w:t>
            </w:r>
          </w:p>
        </w:tc>
      </w:tr>
      <w:tr>
        <w:tc>
          <w:tcPr>
            <w:tcW w:type="dxa" w:w="500"/>
            <w:tcMar>
              <w:top w:type="dxa" w:w="60"/>
              <w:left w:type="dxa" w:w="100"/>
              <w:bottom w:type="dxa" w:w="60"/>
              <w:right w:type="dxa" w:w="100"/>
            </w:tcMar>
          </w:tcPr>
          <w:p>
            <w:pPr>
              <w:spacing w:after="0"/>
            </w:pPr>
            <w:r>
              <w:rPr>
                <w:b w:val="false"/>
                <w:bCs w:val="false"/>
                <w:color w:val="000000"/>
                <w:sz w:val="19"/>
                <w:szCs w:val="19"/>
              </w:rPr>
              <w:t xml:space="preserve">9</w:t>
            </w:r>
          </w:p>
        </w:tc>
        <w:tc>
          <w:tcPr>
            <w:tcW w:type="dxa" w:w="6600"/>
            <w:tcMar>
              <w:top w:type="dxa" w:w="60"/>
              <w:left w:type="dxa" w:w="100"/>
              <w:bottom w:type="dxa" w:w="60"/>
              <w:right w:type="dxa" w:w="100"/>
            </w:tcMar>
          </w:tcPr>
          <w:p>
            <w:pPr>
              <w:spacing w:after="0"/>
            </w:pPr>
            <w:r>
              <w:rPr>
                <w:b w:val="false"/>
                <w:bCs w:val="false"/>
                <w:color w:val="000000"/>
                <w:sz w:val="19"/>
                <w:szCs w:val="19"/>
              </w:rPr>
              <w:t xml:space="preserve">Evaluation Engine – Level 3 &amp; 4</w:t>
            </w:r>
          </w:p>
        </w:tc>
        <w:tc>
          <w:tcPr>
            <w:tcW w:type="dxa" w:w="3000"/>
            <w:tcMar>
              <w:top w:type="dxa" w:w="60"/>
              <w:left w:type="dxa" w:w="100"/>
              <w:bottom w:type="dxa" w:w="60"/>
              <w:right w:type="dxa" w:w="100"/>
            </w:tcMar>
          </w:tcPr>
          <w:p>
            <w:pPr>
              <w:spacing w:after="0"/>
            </w:pPr>
            <w:r>
              <w:rPr>
                <w:b w:val="false"/>
                <w:bCs w:val="false"/>
                <w:color w:val="000000"/>
                <w:sz w:val="19"/>
                <w:szCs w:val="19"/>
              </w:rPr>
              <w:t xml:space="preserve">No change</w:t>
            </w:r>
          </w:p>
        </w:tc>
      </w:tr>
      <w:tr>
        <w:tc>
          <w:tcPr>
            <w:tcW w:type="dxa" w:w="500"/>
            <w:shd w:fill="DCE6F1" w:val="clear"/>
            <w:tcMar>
              <w:top w:type="dxa" w:w="60"/>
              <w:left w:type="dxa" w:w="100"/>
              <w:bottom w:type="dxa" w:w="60"/>
              <w:right w:type="dxa" w:w="100"/>
            </w:tcMar>
          </w:tcPr>
          <w:p>
            <w:pPr>
              <w:spacing w:after="0"/>
            </w:pPr>
            <w:r>
              <w:rPr>
                <w:b w:val="false"/>
                <w:bCs w:val="false"/>
                <w:color w:val="000000"/>
                <w:sz w:val="19"/>
                <w:szCs w:val="19"/>
              </w:rPr>
              <w:t xml:space="preserve">10</w:t>
            </w:r>
          </w:p>
        </w:tc>
        <w:tc>
          <w:tcPr>
            <w:tcW w:type="dxa" w:w="6600"/>
            <w:shd w:fill="DCE6F1" w:val="clear"/>
            <w:tcMar>
              <w:top w:type="dxa" w:w="60"/>
              <w:left w:type="dxa" w:w="100"/>
              <w:bottom w:type="dxa" w:w="60"/>
              <w:right w:type="dxa" w:w="100"/>
            </w:tcMar>
          </w:tcPr>
          <w:p>
            <w:pPr>
              <w:spacing w:after="0"/>
            </w:pPr>
            <w:r>
              <w:rPr>
                <w:b w:val="false"/>
                <w:bCs w:val="false"/>
                <w:color w:val="000000"/>
                <w:sz w:val="19"/>
                <w:szCs w:val="19"/>
              </w:rPr>
              <w:t xml:space="preserve">Completion &amp; Certification Engine</w:t>
            </w:r>
          </w:p>
        </w:tc>
        <w:tc>
          <w:tcPr>
            <w:tcW w:type="dxa" w:w="3000"/>
            <w:shd w:fill="DCE6F1" w:val="clear"/>
            <w:tcMar>
              <w:top w:type="dxa" w:w="60"/>
              <w:left w:type="dxa" w:w="100"/>
              <w:bottom w:type="dxa" w:w="60"/>
              <w:right w:type="dxa" w:w="100"/>
            </w:tcMar>
          </w:tcPr>
          <w:p>
            <w:pPr>
              <w:spacing w:after="0"/>
            </w:pPr>
            <w:r>
              <w:rPr>
                <w:b w:val="false"/>
                <w:bCs w:val="false"/>
                <w:color w:val="000000"/>
                <w:sz w:val="19"/>
                <w:szCs w:val="19"/>
              </w:rPr>
              <w:t xml:space="preserve">No change</w:t>
            </w:r>
          </w:p>
        </w:tc>
      </w:tr>
      <w:tr>
        <w:tc>
          <w:tcPr>
            <w:tcW w:type="dxa" w:w="500"/>
            <w:tcMar>
              <w:top w:type="dxa" w:w="60"/>
              <w:left w:type="dxa" w:w="100"/>
              <w:bottom w:type="dxa" w:w="60"/>
              <w:right w:type="dxa" w:w="100"/>
            </w:tcMar>
          </w:tcPr>
          <w:p>
            <w:pPr>
              <w:spacing w:after="0"/>
            </w:pPr>
            <w:r>
              <w:rPr>
                <w:b w:val="false"/>
                <w:bCs w:val="false"/>
                <w:color w:val="000000"/>
                <w:sz w:val="19"/>
                <w:szCs w:val="19"/>
              </w:rPr>
              <w:t xml:space="preserve">11</w:t>
            </w:r>
          </w:p>
        </w:tc>
        <w:tc>
          <w:tcPr>
            <w:tcW w:type="dxa" w:w="6600"/>
            <w:tcMar>
              <w:top w:type="dxa" w:w="60"/>
              <w:left w:type="dxa" w:w="100"/>
              <w:bottom w:type="dxa" w:w="60"/>
              <w:right w:type="dxa" w:w="100"/>
            </w:tcMar>
          </w:tcPr>
          <w:p>
            <w:pPr>
              <w:spacing w:after="0"/>
            </w:pPr>
            <w:r>
              <w:rPr>
                <w:b w:val="false"/>
                <w:bCs w:val="false"/>
                <w:color w:val="000000"/>
                <w:sz w:val="19"/>
                <w:szCs w:val="19"/>
              </w:rPr>
              <w:t xml:space="preserve">Budget &amp; Cost Tracking</w:t>
            </w:r>
          </w:p>
        </w:tc>
        <w:tc>
          <w:tcPr>
            <w:tcW w:type="dxa" w:w="3000"/>
            <w:tcMar>
              <w:top w:type="dxa" w:w="60"/>
              <w:left w:type="dxa" w:w="100"/>
              <w:bottom w:type="dxa" w:w="60"/>
              <w:right w:type="dxa" w:w="100"/>
            </w:tcMar>
          </w:tcPr>
          <w:p>
            <w:pPr>
              <w:spacing w:after="0"/>
            </w:pPr>
            <w:r>
              <w:rPr>
                <w:b w:val="false"/>
                <w:bCs w:val="false"/>
                <w:color w:val="000000"/>
                <w:sz w:val="19"/>
                <w:szCs w:val="19"/>
              </w:rPr>
              <w:t xml:space="preserve">No change</w:t>
            </w:r>
          </w:p>
        </w:tc>
      </w:tr>
      <w:tr>
        <w:tc>
          <w:tcPr>
            <w:tcW w:type="dxa" w:w="500"/>
            <w:shd w:fill="DCE6F1" w:val="clear"/>
            <w:tcMar>
              <w:top w:type="dxa" w:w="60"/>
              <w:left w:type="dxa" w:w="100"/>
              <w:bottom w:type="dxa" w:w="60"/>
              <w:right w:type="dxa" w:w="100"/>
            </w:tcMar>
          </w:tcPr>
          <w:p>
            <w:pPr>
              <w:spacing w:after="0"/>
            </w:pPr>
            <w:r>
              <w:rPr>
                <w:b w:val="false"/>
                <w:bCs w:val="false"/>
                <w:color w:val="000000"/>
                <w:sz w:val="19"/>
                <w:szCs w:val="19"/>
              </w:rPr>
              <w:t xml:space="preserve">12</w:t>
            </w:r>
          </w:p>
        </w:tc>
        <w:tc>
          <w:tcPr>
            <w:tcW w:type="dxa" w:w="6600"/>
            <w:shd w:fill="DCE6F1" w:val="clear"/>
            <w:tcMar>
              <w:top w:type="dxa" w:w="60"/>
              <w:left w:type="dxa" w:w="100"/>
              <w:bottom w:type="dxa" w:w="60"/>
              <w:right w:type="dxa" w:w="100"/>
            </w:tcMar>
          </w:tcPr>
          <w:p>
            <w:pPr>
              <w:spacing w:after="0"/>
            </w:pPr>
            <w:r>
              <w:rPr>
                <w:b w:val="false"/>
                <w:bCs w:val="false"/>
                <w:color w:val="000000"/>
                <w:sz w:val="19"/>
                <w:szCs w:val="19"/>
              </w:rPr>
              <w:t xml:space="preserve">Reporting &amp; Dashboards</w:t>
            </w:r>
          </w:p>
        </w:tc>
        <w:tc>
          <w:tcPr>
            <w:tcW w:type="dxa" w:w="3000"/>
            <w:shd w:fill="DCE6F1" w:val="clear"/>
            <w:tcMar>
              <w:top w:type="dxa" w:w="60"/>
              <w:left w:type="dxa" w:w="100"/>
              <w:bottom w:type="dxa" w:w="60"/>
              <w:right w:type="dxa" w:w="100"/>
            </w:tcMar>
          </w:tcPr>
          <w:p>
            <w:pPr>
              <w:spacing w:after="0"/>
            </w:pPr>
            <w:r>
              <w:rPr>
                <w:b w:val="false"/>
                <w:bCs w:val="false"/>
                <w:color w:val="000000"/>
                <w:sz w:val="19"/>
                <w:szCs w:val="19"/>
              </w:rPr>
              <w:t xml:space="preserve">No change</w:t>
            </w:r>
          </w:p>
        </w:tc>
      </w:tr>
      <w:tr>
        <w:tc>
          <w:tcPr>
            <w:tcW w:type="dxa" w:w="500"/>
            <w:tcMar>
              <w:top w:type="dxa" w:w="60"/>
              <w:left w:type="dxa" w:w="100"/>
              <w:bottom w:type="dxa" w:w="60"/>
              <w:right w:type="dxa" w:w="100"/>
            </w:tcMar>
          </w:tcPr>
          <w:p>
            <w:pPr>
              <w:spacing w:after="0"/>
            </w:pPr>
            <w:r>
              <w:rPr>
                <w:b w:val="false"/>
                <w:bCs w:val="false"/>
                <w:color w:val="000000"/>
                <w:sz w:val="19"/>
                <w:szCs w:val="19"/>
              </w:rPr>
              <w:t xml:space="preserve">13</w:t>
            </w:r>
          </w:p>
        </w:tc>
        <w:tc>
          <w:tcPr>
            <w:tcW w:type="dxa" w:w="6600"/>
            <w:tcMar>
              <w:top w:type="dxa" w:w="60"/>
              <w:left w:type="dxa" w:w="100"/>
              <w:bottom w:type="dxa" w:w="60"/>
              <w:right w:type="dxa" w:w="100"/>
            </w:tcMar>
          </w:tcPr>
          <w:p>
            <w:pPr>
              <w:spacing w:after="0"/>
            </w:pPr>
            <w:r>
              <w:rPr>
                <w:b w:val="false"/>
                <w:bCs w:val="false"/>
                <w:color w:val="000000"/>
                <w:sz w:val="19"/>
                <w:szCs w:val="19"/>
              </w:rPr>
              <w:t xml:space="preserve">System Integrations (LMS, PMS, Payroll, Finance)</w:t>
            </w:r>
          </w:p>
        </w:tc>
        <w:tc>
          <w:tcPr>
            <w:tcW w:type="dxa" w:w="3000"/>
            <w:tcMar>
              <w:top w:type="dxa" w:w="60"/>
              <w:left w:type="dxa" w:w="100"/>
              <w:bottom w:type="dxa" w:w="60"/>
              <w:right w:type="dxa" w:w="100"/>
            </w:tcMar>
          </w:tcPr>
          <w:p>
            <w:pPr>
              <w:spacing w:after="0"/>
            </w:pPr>
            <w:r>
              <w:rPr>
                <w:b w:val="false"/>
                <w:bCs w:val="false"/>
                <w:color w:val="000000"/>
                <w:sz w:val="19"/>
                <w:szCs w:val="19"/>
              </w:rPr>
              <w:t xml:space="preserve">No change – already internal-only</w:t>
            </w:r>
          </w:p>
        </w:tc>
      </w:tr>
      <w:tr>
        <w:tc>
          <w:tcPr>
            <w:tcW w:type="dxa" w:w="500"/>
            <w:shd w:fill="DCE6F1" w:val="clear"/>
            <w:tcMar>
              <w:top w:type="dxa" w:w="60"/>
              <w:left w:type="dxa" w:w="100"/>
              <w:bottom w:type="dxa" w:w="60"/>
              <w:right w:type="dxa" w:w="100"/>
            </w:tcMar>
          </w:tcPr>
          <w:p>
            <w:pPr>
              <w:spacing w:after="0"/>
            </w:pPr>
            <w:r>
              <w:rPr>
                <w:b w:val="false"/>
                <w:bCs w:val="false"/>
                <w:color w:val="000000"/>
                <w:sz w:val="19"/>
                <w:szCs w:val="19"/>
              </w:rPr>
              <w:t xml:space="preserve">14</w:t>
            </w:r>
          </w:p>
        </w:tc>
        <w:tc>
          <w:tcPr>
            <w:tcW w:type="dxa" w:w="6600"/>
            <w:shd w:fill="DCE6F1" w:val="clear"/>
            <w:tcMar>
              <w:top w:type="dxa" w:w="60"/>
              <w:left w:type="dxa" w:w="100"/>
              <w:bottom w:type="dxa" w:w="60"/>
              <w:right w:type="dxa" w:w="100"/>
            </w:tcMar>
          </w:tcPr>
          <w:p>
            <w:pPr>
              <w:spacing w:after="0"/>
            </w:pPr>
            <w:r>
              <w:rPr>
                <w:b w:val="false"/>
                <w:bCs w:val="false"/>
                <w:color w:val="000000"/>
                <w:sz w:val="19"/>
                <w:szCs w:val="19"/>
              </w:rPr>
              <w:t xml:space="preserve">Staff Education &amp; Sponsorship Module</w:t>
            </w:r>
          </w:p>
        </w:tc>
        <w:tc>
          <w:tcPr>
            <w:tcW w:type="dxa" w:w="3000"/>
            <w:shd w:fill="DCE6F1" w:val="clear"/>
            <w:tcMar>
              <w:top w:type="dxa" w:w="60"/>
              <w:left w:type="dxa" w:w="100"/>
              <w:bottom w:type="dxa" w:w="60"/>
              <w:right w:type="dxa" w:w="100"/>
            </w:tcMar>
          </w:tcPr>
          <w:p>
            <w:pPr>
              <w:spacing w:after="0"/>
            </w:pPr>
            <w:r>
              <w:rPr>
                <w:b w:val="false"/>
                <w:bCs w:val="false"/>
                <w:color w:val="000000"/>
                <w:sz w:val="19"/>
                <w:szCs w:val="19"/>
              </w:rPr>
              <w:t xml:space="preserve">No change</w:t>
            </w:r>
          </w:p>
        </w:tc>
      </w:tr>
      <w:tr>
        <w:tc>
          <w:tcPr>
            <w:tcW w:type="dxa" w:w="500"/>
            <w:tcMar>
              <w:top w:type="dxa" w:w="60"/>
              <w:left w:type="dxa" w:w="100"/>
              <w:bottom w:type="dxa" w:w="60"/>
              <w:right w:type="dxa" w:w="100"/>
            </w:tcMar>
          </w:tcPr>
          <w:p>
            <w:pPr>
              <w:spacing w:after="0"/>
            </w:pPr>
            <w:r>
              <w:rPr>
                <w:b w:val="false"/>
                <w:bCs w:val="false"/>
                <w:color w:val="000000"/>
                <w:sz w:val="19"/>
                <w:szCs w:val="19"/>
              </w:rPr>
              <w:t xml:space="preserve">15</w:t>
            </w:r>
          </w:p>
        </w:tc>
        <w:tc>
          <w:tcPr>
            <w:tcW w:type="dxa" w:w="6600"/>
            <w:tcMar>
              <w:top w:type="dxa" w:w="60"/>
              <w:left w:type="dxa" w:w="100"/>
              <w:bottom w:type="dxa" w:w="60"/>
              <w:right w:type="dxa" w:w="100"/>
            </w:tcMar>
          </w:tcPr>
          <w:p>
            <w:pPr>
              <w:spacing w:after="0"/>
            </w:pPr>
            <w:r>
              <w:rPr>
                <w:b w:val="false"/>
                <w:bCs w:val="false"/>
                <w:color w:val="000000"/>
                <w:sz w:val="19"/>
                <w:szCs w:val="19"/>
              </w:rPr>
              <w:t xml:space="preserve">Internship Facilitation Module</w:t>
            </w:r>
          </w:p>
        </w:tc>
        <w:tc>
          <w:tcPr>
            <w:tcW w:type="dxa" w:w="3000"/>
            <w:tcMar>
              <w:top w:type="dxa" w:w="60"/>
              <w:left w:type="dxa" w:w="100"/>
              <w:bottom w:type="dxa" w:w="60"/>
              <w:right w:type="dxa" w:w="100"/>
            </w:tcMar>
          </w:tcPr>
          <w:p>
            <w:pPr>
              <w:spacing w:after="0"/>
            </w:pPr>
            <w:r>
              <w:rPr>
                <w:b w:val="false"/>
                <w:bCs w:val="false"/>
                <w:color w:val="000000"/>
                <w:sz w:val="19"/>
                <w:szCs w:val="19"/>
              </w:rPr>
              <w:t xml:space="preserve">No change – already record-based</w:t>
            </w:r>
          </w:p>
        </w:tc>
      </w:tr>
    </w:tbl>
    <w:p>
      <w:pPr>
        <w:spacing w:after="160"/>
      </w:pPr>
    </w:p>
    <w:p>
      <w:pPr>
        <w:spacing w:after="160" w:line="276"/>
      </w:pPr>
      <w:r>
        <w:t xml:space="preserve">Because most of the module is already built, this is primarily a descoping and hardening exercise – removing an unneeded competitive-procurement workflow and adding a small number of bulk-import wizards – not a rebuild.</w:t>
      </w:r>
    </w:p>
    <w:p>
      <w:pPr>
        <w:pStyle w:val="Heading1"/>
        <w:spacing w:after="160" w:before="320"/>
      </w:pPr>
      <w:r>
        <w:t xml:space="preserve">4. Scope Decision – What Changes and Why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2900"/>
        <w:gridCol w:w="2600"/>
      </w:tblGrid>
      <w:tr>
        <w:trPr>
          <w:tblHeader/>
        </w:trPr>
        <w:tc>
          <w:tcPr>
            <w:tcW w:type="dxa" w:w="2500"/>
            <w:shd w:fill="1F3864" w:val="clear"/>
            <w:tcMar>
              <w:top w:type="dxa" w:w="60"/>
              <w:left w:type="dxa" w:w="100"/>
              <w:bottom w:type="dxa" w:w="60"/>
              <w:right w:type="dxa" w:w="100"/>
            </w:tcMar>
          </w:tcPr>
          <w:p>
            <w:pPr>
              <w:spacing w:after="0"/>
            </w:pPr>
            <w:r>
              <w:rPr>
                <w:b/>
                <w:bCs/>
                <w:color w:val="FFFFFF"/>
                <w:sz w:val="19"/>
                <w:szCs w:val="19"/>
              </w:rPr>
              <w:t xml:space="preserve">Area</w:t>
            </w:r>
          </w:p>
        </w:tc>
        <w:tc>
          <w:tcPr>
            <w:tcW w:type="dxa" w:w="2600"/>
            <w:shd w:fill="1F3864" w:val="clear"/>
            <w:tcMar>
              <w:top w:type="dxa" w:w="60"/>
              <w:left w:type="dxa" w:w="100"/>
              <w:bottom w:type="dxa" w:w="60"/>
              <w:right w:type="dxa" w:w="100"/>
            </w:tcMar>
          </w:tcPr>
          <w:p>
            <w:pPr>
              <w:spacing w:after="0"/>
            </w:pPr>
            <w:r>
              <w:rPr>
                <w:b/>
                <w:bCs/>
                <w:color w:val="FFFFFF"/>
                <w:sz w:val="19"/>
                <w:szCs w:val="19"/>
              </w:rPr>
              <w:t xml:space="preserve">Affected model(s)</w:t>
            </w:r>
          </w:p>
        </w:tc>
        <w:tc>
          <w:tcPr>
            <w:tcW w:type="dxa" w:w="2900"/>
            <w:shd w:fill="1F3864" w:val="clear"/>
            <w:tcMar>
              <w:top w:type="dxa" w:w="60"/>
              <w:left w:type="dxa" w:w="100"/>
              <w:bottom w:type="dxa" w:w="60"/>
              <w:right w:type="dxa" w:w="100"/>
            </w:tcMar>
          </w:tcPr>
          <w:p>
            <w:pPr>
              <w:spacing w:after="0"/>
            </w:pPr>
            <w:r>
              <w:rPr>
                <w:b/>
                <w:bCs/>
                <w:color w:val="FFFFFF"/>
                <w:sz w:val="19"/>
                <w:szCs w:val="19"/>
              </w:rPr>
              <w:t xml:space="preserve">Decision</w:t>
            </w:r>
          </w:p>
        </w:tc>
        <w:tc>
          <w:tcPr>
            <w:tcW w:type="dxa" w:w="2600"/>
            <w:shd w:fill="1F3864" w:val="clear"/>
            <w:tcMar>
              <w:top w:type="dxa" w:w="60"/>
              <w:left w:type="dxa" w:w="100"/>
              <w:bottom w:type="dxa" w:w="60"/>
              <w:right w:type="dxa" w:w="100"/>
            </w:tcMar>
          </w:tcPr>
          <w:p>
            <w:pPr>
              <w:spacing w:after="0"/>
            </w:pPr>
            <w:r>
              <w:rPr>
                <w:b/>
                <w:bCs/>
                <w:color w:val="FFFFFF"/>
                <w:sz w:val="19"/>
                <w:szCs w:val="19"/>
              </w:rPr>
              <w:t xml:space="preserve">Replacement mechanism</w:t>
            </w:r>
          </w:p>
        </w:tc>
      </w:tr>
      <w:tr>
        <w:tc>
          <w:tcPr>
            <w:tcW w:type="dxa" w:w="2500"/>
            <w:tcMar>
              <w:top w:type="dxa" w:w="60"/>
              <w:left w:type="dxa" w:w="100"/>
              <w:bottom w:type="dxa" w:w="60"/>
              <w:right w:type="dxa" w:w="100"/>
            </w:tcMar>
          </w:tcPr>
          <w:p>
            <w:pPr>
              <w:spacing w:after="0"/>
            </w:pPr>
            <w:r>
              <w:rPr>
                <w:b w:val="false"/>
                <w:bCs w:val="false"/>
                <w:color w:val="000000"/>
                <w:sz w:val="19"/>
                <w:szCs w:val="19"/>
              </w:rPr>
              <w:t xml:space="preserve">Vendor / Venue Sourcing
(RFP issue, two-envelope bidding, technical &amp; financial evaluation)</w:t>
            </w:r>
          </w:p>
        </w:tc>
        <w:tc>
          <w:tcPr>
            <w:tcW w:type="dxa" w:w="2600"/>
            <w:tcMar>
              <w:top w:type="dxa" w:w="60"/>
              <w:left w:type="dxa" w:w="100"/>
              <w:bottom w:type="dxa" w:w="60"/>
              <w:right w:type="dxa" w:w="100"/>
            </w:tcMar>
          </w:tcPr>
          <w:p>
            <w:pPr>
              <w:spacing w:after="0"/>
            </w:pPr>
            <w:r>
              <w:rPr>
                <w:b w:val="false"/>
                <w:bCs w:val="false"/>
                <w:color w:val="000000"/>
                <w:sz w:val="19"/>
                <w:szCs w:val="19"/>
              </w:rPr>
              <w:t xml:space="preserve">eds.venue.requirement, eds.rfp, eds.rfp.criteria.line, eds.vendor.proposal, eds.evaluation.criteria, eds.vendor.evaluation(.line)</w:t>
            </w:r>
          </w:p>
        </w:tc>
        <w:tc>
          <w:tcPr>
            <w:tcW w:type="dxa" w:w="2900"/>
            <w:tcMar>
              <w:top w:type="dxa" w:w="60"/>
              <w:left w:type="dxa" w:w="100"/>
              <w:bottom w:type="dxa" w:w="60"/>
              <w:right w:type="dxa" w:w="100"/>
            </w:tcMar>
          </w:tcPr>
          <w:p>
            <w:pPr>
              <w:spacing w:after="0"/>
            </w:pPr>
            <w:r>
              <w:rPr>
                <w:b w:val="false"/>
                <w:bCs w:val="false"/>
                <w:color w:val="000000"/>
                <w:sz w:val="19"/>
                <w:szCs w:val="19"/>
              </w:rPr>
              <w:t xml:space="preserve">REMOVE from EDS.
Competitive sourcing is a central Procurement function, not an L&amp;D/EDS function.</w:t>
            </w:r>
          </w:p>
        </w:tc>
        <w:tc>
          <w:tcPr>
            <w:tcW w:type="dxa" w:w="2600"/>
            <w:tcMar>
              <w:top w:type="dxa" w:w="60"/>
              <w:left w:type="dxa" w:w="100"/>
              <w:bottom w:type="dxa" w:w="60"/>
              <w:right w:type="dxa" w:w="100"/>
            </w:tcMar>
          </w:tcPr>
          <w:p>
            <w:pPr>
              <w:spacing w:after="0"/>
            </w:pPr>
            <w:r>
              <w:rPr>
                <w:b w:val="false"/>
                <w:bCs w:val="false"/>
                <w:color w:val="000000"/>
                <w:sz w:val="19"/>
                <w:szCs w:val="19"/>
              </w:rPr>
              <w:t xml:space="preserve">L&amp;D records only the awarded outcome in a simplified Vendor &amp; Contract Register (see §7).</w:t>
            </w:r>
          </w:p>
        </w:tc>
      </w:tr>
      <w:tr>
        <w:tc>
          <w:tcPr>
            <w:tcW w:type="dxa" w:w="2500"/>
            <w:shd w:fill="DCE6F1" w:val="clear"/>
            <w:tcMar>
              <w:top w:type="dxa" w:w="60"/>
              <w:left w:type="dxa" w:w="100"/>
              <w:bottom w:type="dxa" w:w="60"/>
              <w:right w:type="dxa" w:w="100"/>
            </w:tcMar>
          </w:tcPr>
          <w:p>
            <w:pPr>
              <w:spacing w:after="0"/>
            </w:pPr>
            <w:r>
              <w:rPr>
                <w:b w:val="false"/>
                <w:bCs w:val="false"/>
                <w:color w:val="000000"/>
                <w:sz w:val="19"/>
                <w:szCs w:val="19"/>
              </w:rPr>
              <w:t xml:space="preserve">Vendor / Venue post-training rating</w:t>
            </w:r>
          </w:p>
        </w:tc>
        <w:tc>
          <w:tcPr>
            <w:tcW w:type="dxa" w:w="2600"/>
            <w:shd w:fill="DCE6F1" w:val="clear"/>
            <w:tcMar>
              <w:top w:type="dxa" w:w="60"/>
              <w:left w:type="dxa" w:w="100"/>
              <w:bottom w:type="dxa" w:w="60"/>
              <w:right w:type="dxa" w:w="100"/>
            </w:tcMar>
          </w:tcPr>
          <w:p>
            <w:pPr>
              <w:spacing w:after="0"/>
            </w:pPr>
            <w:r>
              <w:rPr>
                <w:b w:val="false"/>
                <w:bCs w:val="false"/>
                <w:color w:val="000000"/>
                <w:sz w:val="19"/>
                <w:szCs w:val="19"/>
              </w:rPr>
              <w:t xml:space="preserve">eds.external.provider, eds.provider.performance.history</w:t>
            </w:r>
          </w:p>
        </w:tc>
        <w:tc>
          <w:tcPr>
            <w:tcW w:type="dxa" w:w="2900"/>
            <w:shd w:fill="DCE6F1" w:val="clear"/>
            <w:tcMar>
              <w:top w:type="dxa" w:w="60"/>
              <w:left w:type="dxa" w:w="100"/>
              <w:bottom w:type="dxa" w:w="60"/>
              <w:right w:type="dxa" w:w="100"/>
            </w:tcMar>
          </w:tcPr>
          <w:p>
            <w:pPr>
              <w:spacing w:after="0"/>
            </w:pPr>
            <w:r>
              <w:rPr>
                <w:b w:val="false"/>
                <w:bCs w:val="false"/>
                <w:color w:val="000000"/>
                <w:sz w:val="19"/>
                <w:szCs w:val="19"/>
              </w:rPr>
              <w:t xml:space="preserve">KEEP – already internal-only (L&amp;D rates the vendor after the session; the vendor never logs in).</w:t>
            </w:r>
          </w:p>
        </w:tc>
        <w:tc>
          <w:tcPr>
            <w:tcW w:type="dxa" w:w="2600"/>
            <w:shd w:fill="DCE6F1" w:val="clear"/>
            <w:tcMar>
              <w:top w:type="dxa" w:w="60"/>
              <w:left w:type="dxa" w:w="100"/>
              <w:bottom w:type="dxa" w:w="60"/>
              <w:right w:type="dxa" w:w="100"/>
            </w:tcMar>
          </w:tcPr>
          <w:p>
            <w:pPr>
              <w:spacing w:after="0"/>
            </w:pPr>
            <w:r>
              <w:rPr>
                <w:b w:val="false"/>
                <w:bCs w:val="false"/>
                <w:color w:val="000000"/>
                <w:sz w:val="19"/>
                <w:szCs w:val="19"/>
              </w:rPr>
              <w:t xml:space="preserve">No change.</w:t>
            </w:r>
          </w:p>
        </w:tc>
      </w:tr>
      <w:tr>
        <w:tc>
          <w:tcPr>
            <w:tcW w:type="dxa" w:w="2500"/>
            <w:tcMar>
              <w:top w:type="dxa" w:w="60"/>
              <w:left w:type="dxa" w:w="100"/>
              <w:bottom w:type="dxa" w:w="60"/>
              <w:right w:type="dxa" w:w="100"/>
            </w:tcMar>
          </w:tcPr>
          <w:p>
            <w:pPr>
              <w:spacing w:after="0"/>
            </w:pPr>
            <w:r>
              <w:rPr>
                <w:b w:val="false"/>
                <w:bCs w:val="false"/>
                <w:color w:val="000000"/>
                <w:sz w:val="19"/>
                <w:szCs w:val="19"/>
              </w:rPr>
              <w:t xml:space="preserve">Vendor invoice submission
("vendor uploads invoice with proof")</w:t>
            </w:r>
          </w:p>
        </w:tc>
        <w:tc>
          <w:tcPr>
            <w:tcW w:type="dxa" w:w="2600"/>
            <w:tcMar>
              <w:top w:type="dxa" w:w="60"/>
              <w:left w:type="dxa" w:w="100"/>
              <w:bottom w:type="dxa" w:w="60"/>
              <w:right w:type="dxa" w:w="100"/>
            </w:tcMar>
          </w:tcPr>
          <w:p>
            <w:pPr>
              <w:spacing w:after="0"/>
            </w:pPr>
            <w:r>
              <w:rPr>
                <w:b w:val="false"/>
                <w:bCs w:val="false"/>
                <w:color w:val="000000"/>
                <w:sz w:val="19"/>
                <w:szCs w:val="19"/>
              </w:rPr>
              <w:t xml:space="preserve">Roadmap Stage 12</w:t>
            </w:r>
          </w:p>
        </w:tc>
        <w:tc>
          <w:tcPr>
            <w:tcW w:type="dxa" w:w="2900"/>
            <w:tcMar>
              <w:top w:type="dxa" w:w="60"/>
              <w:left w:type="dxa" w:w="100"/>
              <w:bottom w:type="dxa" w:w="60"/>
              <w:right w:type="dxa" w:w="100"/>
            </w:tcMar>
          </w:tcPr>
          <w:p>
            <w:pPr>
              <w:spacing w:after="0"/>
            </w:pPr>
            <w:r>
              <w:rPr>
                <w:b w:val="false"/>
                <w:bCs w:val="false"/>
                <w:color w:val="000000"/>
                <w:sz w:val="19"/>
                <w:szCs w:val="19"/>
              </w:rPr>
              <w:t xml:space="preserve">REMOVE the vendor-facing upload step.</w:t>
            </w:r>
          </w:p>
        </w:tc>
        <w:tc>
          <w:tcPr>
            <w:tcW w:type="dxa" w:w="2600"/>
            <w:tcMar>
              <w:top w:type="dxa" w:w="60"/>
              <w:left w:type="dxa" w:w="100"/>
              <w:bottom w:type="dxa" w:w="60"/>
              <w:right w:type="dxa" w:w="100"/>
            </w:tcMar>
          </w:tcPr>
          <w:p>
            <w:pPr>
              <w:spacing w:after="0"/>
            </w:pPr>
            <w:r>
              <w:rPr>
                <w:b w:val="false"/>
                <w:bCs w:val="false"/>
                <w:color w:val="000000"/>
                <w:sz w:val="19"/>
                <w:szCs w:val="19"/>
              </w:rPr>
              <w:t xml:space="preserve">Finance/L&amp;D enters the invoice reference and amount manually, or imports it from Finance's AP export.</w:t>
            </w:r>
          </w:p>
        </w:tc>
      </w:tr>
      <w:tr>
        <w:tc>
          <w:tcPr>
            <w:tcW w:type="dxa" w:w="2500"/>
            <w:shd w:fill="DCE6F1" w:val="clear"/>
            <w:tcMar>
              <w:top w:type="dxa" w:w="60"/>
              <w:left w:type="dxa" w:w="100"/>
              <w:bottom w:type="dxa" w:w="60"/>
              <w:right w:type="dxa" w:w="100"/>
            </w:tcMar>
          </w:tcPr>
          <w:p>
            <w:pPr>
              <w:spacing w:after="0"/>
            </w:pPr>
            <w:r>
              <w:rPr>
                <w:b w:val="false"/>
                <w:bCs w:val="false"/>
                <w:color w:val="000000"/>
                <w:sz w:val="19"/>
                <w:szCs w:val="19"/>
              </w:rPr>
              <w:t xml:space="preserve">Pre-/Post-training assessment scoring
("external trainers may upload scores")</w:t>
            </w:r>
          </w:p>
        </w:tc>
        <w:tc>
          <w:tcPr>
            <w:tcW w:type="dxa" w:w="2600"/>
            <w:shd w:fill="DCE6F1" w:val="clear"/>
            <w:tcMar>
              <w:top w:type="dxa" w:w="60"/>
              <w:left w:type="dxa" w:w="100"/>
              <w:bottom w:type="dxa" w:w="60"/>
              <w:right w:type="dxa" w:w="100"/>
            </w:tcMar>
          </w:tcPr>
          <w:p>
            <w:pPr>
              <w:spacing w:after="0"/>
            </w:pPr>
            <w:r>
              <w:rPr>
                <w:b w:val="false"/>
                <w:bCs w:val="false"/>
                <w:color w:val="000000"/>
                <w:sz w:val="19"/>
                <w:szCs w:val="19"/>
              </w:rPr>
              <w:t xml:space="preserve">eds.assessment</w:t>
            </w:r>
          </w:p>
        </w:tc>
        <w:tc>
          <w:tcPr>
            <w:tcW w:type="dxa" w:w="2900"/>
            <w:shd w:fill="DCE6F1" w:val="clear"/>
            <w:tcMar>
              <w:top w:type="dxa" w:w="60"/>
              <w:left w:type="dxa" w:w="100"/>
              <w:bottom w:type="dxa" w:w="60"/>
              <w:right w:type="dxa" w:w="100"/>
            </w:tcMar>
          </w:tcPr>
          <w:p>
            <w:pPr>
              <w:spacing w:after="0"/>
            </w:pPr>
            <w:r>
              <w:rPr>
                <w:b w:val="false"/>
                <w:bCs w:val="false"/>
                <w:color w:val="000000"/>
                <w:sz w:val="19"/>
                <w:szCs w:val="19"/>
              </w:rPr>
              <w:t xml:space="preserve">REMOVE direct/self entry by trainer or trainee.</w:t>
            </w:r>
          </w:p>
        </w:tc>
        <w:tc>
          <w:tcPr>
            <w:tcW w:type="dxa" w:w="2600"/>
            <w:shd w:fill="DCE6F1" w:val="clear"/>
            <w:tcMar>
              <w:top w:type="dxa" w:w="60"/>
              <w:left w:type="dxa" w:w="100"/>
              <w:bottom w:type="dxa" w:w="60"/>
              <w:right w:type="dxa" w:w="100"/>
            </w:tcMar>
          </w:tcPr>
          <w:p>
            <w:pPr>
              <w:spacing w:after="0"/>
            </w:pPr>
            <w:r>
              <w:rPr>
                <w:b w:val="false"/>
                <w:bCs w:val="false"/>
                <w:color w:val="000000"/>
                <w:sz w:val="19"/>
                <w:szCs w:val="19"/>
              </w:rPr>
              <w:t xml:space="preserve">Bulk Score Import Template (§6) uploaded by the L&amp;D officer after paper-based exams are marked.</w:t>
            </w:r>
          </w:p>
        </w:tc>
      </w:tr>
      <w:tr>
        <w:tc>
          <w:tcPr>
            <w:tcW w:type="dxa" w:w="2500"/>
            <w:tcMar>
              <w:top w:type="dxa" w:w="60"/>
              <w:left w:type="dxa" w:w="100"/>
              <w:bottom w:type="dxa" w:w="60"/>
              <w:right w:type="dxa" w:w="100"/>
            </w:tcMar>
          </w:tcPr>
          <w:p>
            <w:pPr>
              <w:spacing w:after="0"/>
            </w:pPr>
            <w:r>
              <w:rPr>
                <w:b w:val="false"/>
                <w:bCs w:val="false"/>
                <w:color w:val="000000"/>
                <w:sz w:val="19"/>
                <w:szCs w:val="19"/>
              </w:rPr>
              <w:t xml:space="preserve">Level 1 reaction survey
("auto-distribute survey link, 7 days")</w:t>
            </w:r>
          </w:p>
        </w:tc>
        <w:tc>
          <w:tcPr>
            <w:tcW w:type="dxa" w:w="2600"/>
            <w:tcMar>
              <w:top w:type="dxa" w:w="60"/>
              <w:left w:type="dxa" w:w="100"/>
              <w:bottom w:type="dxa" w:w="60"/>
              <w:right w:type="dxa" w:w="100"/>
            </w:tcMar>
          </w:tcPr>
          <w:p>
            <w:pPr>
              <w:spacing w:after="0"/>
            </w:pPr>
            <w:r>
              <w:rPr>
                <w:b w:val="false"/>
                <w:bCs w:val="false"/>
                <w:color w:val="000000"/>
                <w:sz w:val="19"/>
                <w:szCs w:val="19"/>
              </w:rPr>
              <w:t xml:space="preserve">eds.evaluation.level1(.line)</w:t>
            </w:r>
          </w:p>
        </w:tc>
        <w:tc>
          <w:tcPr>
            <w:tcW w:type="dxa" w:w="2900"/>
            <w:tcMar>
              <w:top w:type="dxa" w:w="60"/>
              <w:left w:type="dxa" w:w="100"/>
              <w:bottom w:type="dxa" w:w="60"/>
              <w:right w:type="dxa" w:w="100"/>
            </w:tcMar>
          </w:tcPr>
          <w:p>
            <w:pPr>
              <w:spacing w:after="0"/>
            </w:pPr>
            <w:r>
              <w:rPr>
                <w:b w:val="false"/>
                <w:bCs w:val="false"/>
                <w:color w:val="000000"/>
                <w:sz w:val="19"/>
                <w:szCs w:val="19"/>
              </w:rPr>
              <w:t xml:space="preserve">REMOVE the emailed self-service survey link.</w:t>
            </w:r>
          </w:p>
        </w:tc>
        <w:tc>
          <w:tcPr>
            <w:tcW w:type="dxa" w:w="2600"/>
            <w:tcMar>
              <w:top w:type="dxa" w:w="60"/>
              <w:left w:type="dxa" w:w="100"/>
              <w:bottom w:type="dxa" w:w="60"/>
              <w:right w:type="dxa" w:w="100"/>
            </w:tcMar>
          </w:tcPr>
          <w:p>
            <w:pPr>
              <w:spacing w:after="0"/>
            </w:pPr>
            <w:r>
              <w:rPr>
                <w:b w:val="false"/>
                <w:bCs w:val="false"/>
                <w:color w:val="000000"/>
                <w:sz w:val="19"/>
                <w:szCs w:val="19"/>
              </w:rPr>
              <w:t xml:space="preserve">Paper form collected in-branch; L&amp;D bulk-enters responses via the same import pattern.</w:t>
            </w:r>
          </w:p>
        </w:tc>
      </w:tr>
      <w:tr>
        <w:tc>
          <w:tcPr>
            <w:tcW w:type="dxa" w:w="2500"/>
            <w:shd w:fill="DCE6F1" w:val="clear"/>
            <w:tcMar>
              <w:top w:type="dxa" w:w="60"/>
              <w:left w:type="dxa" w:w="100"/>
              <w:bottom w:type="dxa" w:w="60"/>
              <w:right w:type="dxa" w:w="100"/>
            </w:tcMar>
          </w:tcPr>
          <w:p>
            <w:pPr>
              <w:spacing w:after="0"/>
            </w:pPr>
            <w:r>
              <w:rPr>
                <w:b w:val="false"/>
                <w:bCs w:val="false"/>
                <w:color w:val="000000"/>
                <w:sz w:val="19"/>
                <w:szCs w:val="19"/>
              </w:rPr>
              <w:t xml:space="preserve">Level 3 behavioural follow-up
(30/60/90-day manager observation)</w:t>
            </w:r>
          </w:p>
        </w:tc>
        <w:tc>
          <w:tcPr>
            <w:tcW w:type="dxa" w:w="2600"/>
            <w:shd w:fill="DCE6F1" w:val="clear"/>
            <w:tcMar>
              <w:top w:type="dxa" w:w="60"/>
              <w:left w:type="dxa" w:w="100"/>
              <w:bottom w:type="dxa" w:w="60"/>
              <w:right w:type="dxa" w:w="100"/>
            </w:tcMar>
          </w:tcPr>
          <w:p>
            <w:pPr>
              <w:spacing w:after="0"/>
            </w:pPr>
            <w:r>
              <w:rPr>
                <w:b w:val="false"/>
                <w:bCs w:val="false"/>
                <w:color w:val="000000"/>
                <w:sz w:val="19"/>
                <w:szCs w:val="19"/>
              </w:rPr>
              <w:t xml:space="preserve">eds.evaluation.level3(.line)</w:t>
            </w:r>
          </w:p>
        </w:tc>
        <w:tc>
          <w:tcPr>
            <w:tcW w:type="dxa" w:w="2900"/>
            <w:shd w:fill="DCE6F1" w:val="clear"/>
            <w:tcMar>
              <w:top w:type="dxa" w:w="60"/>
              <w:left w:type="dxa" w:w="100"/>
              <w:bottom w:type="dxa" w:w="60"/>
              <w:right w:type="dxa" w:w="100"/>
            </w:tcMar>
          </w:tcPr>
          <w:p>
            <w:pPr>
              <w:spacing w:after="0"/>
            </w:pPr>
            <w:r>
              <w:rPr>
                <w:b w:val="false"/>
                <w:bCs w:val="false"/>
                <w:color w:val="000000"/>
                <w:sz w:val="19"/>
                <w:szCs w:val="19"/>
              </w:rPr>
              <w:t xml:space="preserve">KEEP unchanged.</w:t>
            </w:r>
          </w:p>
        </w:tc>
        <w:tc>
          <w:tcPr>
            <w:tcW w:type="dxa" w:w="2600"/>
            <w:shd w:fill="DCE6F1" w:val="clear"/>
            <w:tcMar>
              <w:top w:type="dxa" w:w="60"/>
              <w:left w:type="dxa" w:w="100"/>
              <w:bottom w:type="dxa" w:w="60"/>
              <w:right w:type="dxa" w:w="100"/>
            </w:tcMar>
          </w:tcPr>
          <w:p>
            <w:pPr>
              <w:spacing w:after="0"/>
            </w:pPr>
            <w:r>
              <w:rPr>
                <w:b w:val="false"/>
                <w:bCs w:val="false"/>
                <w:color w:val="000000"/>
                <w:sz w:val="19"/>
                <w:szCs w:val="19"/>
              </w:rPr>
              <w:t xml:space="preserve">The manager already has intranet access; this was never an external-facing step.</w:t>
            </w:r>
          </w:p>
        </w:tc>
      </w:tr>
      <w:tr>
        <w:tc>
          <w:tcPr>
            <w:tcW w:type="dxa" w:w="2500"/>
            <w:tcMar>
              <w:top w:type="dxa" w:w="60"/>
              <w:left w:type="dxa" w:w="100"/>
              <w:bottom w:type="dxa" w:w="60"/>
              <w:right w:type="dxa" w:w="100"/>
            </w:tcMar>
          </w:tcPr>
          <w:p>
            <w:pPr>
              <w:spacing w:after="0"/>
            </w:pPr>
            <w:r>
              <w:rPr>
                <w:b w:val="false"/>
                <w:bCs w:val="false"/>
                <w:color w:val="000000"/>
                <w:sz w:val="19"/>
                <w:szCs w:val="19"/>
              </w:rPr>
              <w:t xml:space="preserve">International training / external institution coordination</w:t>
            </w:r>
          </w:p>
        </w:tc>
        <w:tc>
          <w:tcPr>
            <w:tcW w:type="dxa" w:w="2600"/>
            <w:tcMar>
              <w:top w:type="dxa" w:w="60"/>
              <w:left w:type="dxa" w:w="100"/>
              <w:bottom w:type="dxa" w:w="60"/>
              <w:right w:type="dxa" w:w="100"/>
            </w:tcMar>
          </w:tcPr>
          <w:p>
            <w:pPr>
              <w:spacing w:after="0"/>
            </w:pPr>
            <w:r>
              <w:rPr>
                <w:b w:val="false"/>
                <w:bCs w:val="false"/>
                <w:color w:val="000000"/>
                <w:sz w:val="19"/>
                <w:szCs w:val="19"/>
              </w:rPr>
              <w:t xml:space="preserve">eds.international.training, .travel.line, .report</w:t>
            </w:r>
          </w:p>
        </w:tc>
        <w:tc>
          <w:tcPr>
            <w:tcW w:type="dxa" w:w="2900"/>
            <w:tcMar>
              <w:top w:type="dxa" w:w="60"/>
              <w:left w:type="dxa" w:w="100"/>
              <w:bottom w:type="dxa" w:w="60"/>
              <w:right w:type="dxa" w:w="100"/>
            </w:tcMar>
          </w:tcPr>
          <w:p>
            <w:pPr>
              <w:spacing w:after="0"/>
            </w:pPr>
            <w:r>
              <w:rPr>
                <w:b w:val="false"/>
                <w:bCs w:val="false"/>
                <w:color w:val="000000"/>
                <w:sz w:val="19"/>
                <w:szCs w:val="19"/>
              </w:rPr>
              <w:t xml:space="preserve">KEEP as a lightweight internal record only; no workflow automation toward the institution.</w:t>
            </w:r>
          </w:p>
        </w:tc>
        <w:tc>
          <w:tcPr>
            <w:tcW w:type="dxa" w:w="2600"/>
            <w:tcMar>
              <w:top w:type="dxa" w:w="60"/>
              <w:left w:type="dxa" w:w="100"/>
              <w:bottom w:type="dxa" w:w="60"/>
              <w:right w:type="dxa" w:w="100"/>
            </w:tcMar>
          </w:tcPr>
          <w:p>
            <w:pPr>
              <w:spacing w:after="0"/>
            </w:pPr>
            <w:r>
              <w:rPr>
                <w:b w:val="false"/>
                <w:bCs w:val="false"/>
                <w:color w:val="000000"/>
                <w:sz w:val="19"/>
                <w:szCs w:val="19"/>
              </w:rPr>
              <w:t xml:space="preserve">Deprioritised for Phase 1 — treated as low-volume manual record-keeping.</w:t>
            </w:r>
          </w:p>
        </w:tc>
      </w:tr>
      <w:tr>
        <w:tc>
          <w:tcPr>
            <w:tcW w:type="dxa" w:w="2500"/>
            <w:shd w:fill="DCE6F1" w:val="clear"/>
            <w:tcMar>
              <w:top w:type="dxa" w:w="60"/>
              <w:left w:type="dxa" w:w="100"/>
              <w:bottom w:type="dxa" w:w="60"/>
              <w:right w:type="dxa" w:w="100"/>
            </w:tcMar>
          </w:tcPr>
          <w:p>
            <w:pPr>
              <w:spacing w:after="0"/>
            </w:pPr>
            <w:r>
              <w:rPr>
                <w:b w:val="false"/>
                <w:bCs w:val="false"/>
                <w:color w:val="000000"/>
                <w:sz w:val="19"/>
                <w:szCs w:val="19"/>
              </w:rPr>
              <w:t xml:space="preserve">Internship applications (external university applicants)</w:t>
            </w:r>
          </w:p>
        </w:tc>
        <w:tc>
          <w:tcPr>
            <w:tcW w:type="dxa" w:w="2600"/>
            <w:shd w:fill="DCE6F1" w:val="clear"/>
            <w:tcMar>
              <w:top w:type="dxa" w:w="60"/>
              <w:left w:type="dxa" w:w="100"/>
              <w:bottom w:type="dxa" w:w="60"/>
              <w:right w:type="dxa" w:w="100"/>
            </w:tcMar>
          </w:tcPr>
          <w:p>
            <w:pPr>
              <w:spacing w:after="0"/>
            </w:pPr>
            <w:r>
              <w:rPr>
                <w:b w:val="false"/>
                <w:bCs w:val="false"/>
                <w:color w:val="000000"/>
                <w:sz w:val="19"/>
                <w:szCs w:val="19"/>
              </w:rPr>
              <w:t xml:space="preserve">eds.internship.application(.evaluation)</w:t>
            </w:r>
          </w:p>
        </w:tc>
        <w:tc>
          <w:tcPr>
            <w:tcW w:type="dxa" w:w="2900"/>
            <w:shd w:fill="DCE6F1" w:val="clear"/>
            <w:tcMar>
              <w:top w:type="dxa" w:w="60"/>
              <w:left w:type="dxa" w:w="100"/>
              <w:bottom w:type="dxa" w:w="60"/>
              <w:right w:type="dxa" w:w="100"/>
            </w:tcMar>
          </w:tcPr>
          <w:p>
            <w:pPr>
              <w:spacing w:after="0"/>
            </w:pPr>
            <w:r>
              <w:rPr>
                <w:b w:val="false"/>
                <w:bCs w:val="false"/>
                <w:color w:val="000000"/>
                <w:sz w:val="19"/>
                <w:szCs w:val="19"/>
              </w:rPr>
              <w:t xml:space="preserve">KEEP unchanged — already record-based (staff scans/uploads the application; the applicant never logs in).</w:t>
            </w:r>
          </w:p>
        </w:tc>
        <w:tc>
          <w:tcPr>
            <w:tcW w:type="dxa" w:w="2600"/>
            <w:shd w:fill="DCE6F1" w:val="clear"/>
            <w:tcMar>
              <w:top w:type="dxa" w:w="60"/>
              <w:left w:type="dxa" w:w="100"/>
              <w:bottom w:type="dxa" w:w="60"/>
              <w:right w:type="dxa" w:w="100"/>
            </w:tcMar>
          </w:tcPr>
          <w:p>
            <w:pPr>
              <w:spacing w:after="0"/>
            </w:pPr>
            <w:r>
              <w:rPr>
                <w:b w:val="false"/>
                <w:bCs w:val="false"/>
                <w:color w:val="000000"/>
                <w:sz w:val="19"/>
                <w:szCs w:val="19"/>
              </w:rPr>
              <w:t xml:space="preserve">No change.</w:t>
            </w:r>
          </w:p>
        </w:tc>
      </w:tr>
      <w:tr>
        <w:tc>
          <w:tcPr>
            <w:tcW w:type="dxa" w:w="2500"/>
            <w:tcMar>
              <w:top w:type="dxa" w:w="60"/>
              <w:left w:type="dxa" w:w="100"/>
              <w:bottom w:type="dxa" w:w="60"/>
              <w:right w:type="dxa" w:w="100"/>
            </w:tcMar>
          </w:tcPr>
          <w:p>
            <w:pPr>
              <w:spacing w:after="0"/>
            </w:pPr>
            <w:r>
              <w:rPr>
                <w:b w:val="false"/>
                <w:bCs w:val="false"/>
                <w:color w:val="000000"/>
                <w:sz w:val="19"/>
                <w:szCs w:val="19"/>
              </w:rPr>
              <w:t xml:space="preserve">Employee "My Nominations" accept/decline</w:t>
            </w:r>
          </w:p>
        </w:tc>
        <w:tc>
          <w:tcPr>
            <w:tcW w:type="dxa" w:w="2600"/>
            <w:tcMar>
              <w:top w:type="dxa" w:w="60"/>
              <w:left w:type="dxa" w:w="100"/>
              <w:bottom w:type="dxa" w:w="60"/>
              <w:right w:type="dxa" w:w="100"/>
            </w:tcMar>
          </w:tcPr>
          <w:p>
            <w:pPr>
              <w:spacing w:after="0"/>
            </w:pPr>
            <w:r>
              <w:rPr>
                <w:b w:val="false"/>
                <w:bCs w:val="false"/>
                <w:color w:val="000000"/>
                <w:sz w:val="19"/>
                <w:szCs w:val="19"/>
              </w:rPr>
              <w:t xml:space="preserve">eds.nomination (employee_confirmed)</w:t>
            </w:r>
          </w:p>
        </w:tc>
        <w:tc>
          <w:tcPr>
            <w:tcW w:type="dxa" w:w="2900"/>
            <w:tcMar>
              <w:top w:type="dxa" w:w="60"/>
              <w:left w:type="dxa" w:w="100"/>
              <w:bottom w:type="dxa" w:w="60"/>
              <w:right w:type="dxa" w:w="100"/>
            </w:tcMar>
          </w:tcPr>
          <w:p>
            <w:pPr>
              <w:spacing w:after="0"/>
            </w:pPr>
            <w:r>
              <w:rPr>
                <w:b w:val="false"/>
                <w:bCs w:val="false"/>
                <w:color w:val="000000"/>
                <w:sz w:val="19"/>
                <w:szCs w:val="19"/>
              </w:rPr>
              <w:t xml:space="preserve">KEEP — clarify as an intranet self-service action inside the bank's own Odoo web client, not a public portal. No public portal controller exists in the codebase today.</w:t>
            </w:r>
          </w:p>
        </w:tc>
        <w:tc>
          <w:tcPr>
            <w:tcW w:type="dxa" w:w="2600"/>
            <w:tcMar>
              <w:top w:type="dxa" w:w="60"/>
              <w:left w:type="dxa" w:w="100"/>
              <w:bottom w:type="dxa" w:w="60"/>
              <w:right w:type="dxa" w:w="100"/>
            </w:tcMar>
          </w:tcPr>
          <w:p>
            <w:pPr>
              <w:spacing w:after="0"/>
            </w:pPr>
            <w:r>
              <w:rPr>
                <w:b w:val="false"/>
                <w:bCs w:val="false"/>
                <w:color w:val="000000"/>
                <w:sz w:val="19"/>
                <w:szCs w:val="19"/>
              </w:rPr>
              <w:t xml:space="preserve">No change; documentation updated to remove ambiguity.</w:t>
            </w:r>
          </w:p>
        </w:tc>
      </w:tr>
      <w:tr>
        <w:tc>
          <w:tcPr>
            <w:tcW w:type="dxa" w:w="2500"/>
            <w:shd w:fill="DCE6F1" w:val="clear"/>
            <w:tcMar>
              <w:top w:type="dxa" w:w="60"/>
              <w:left w:type="dxa" w:w="100"/>
              <w:bottom w:type="dxa" w:w="60"/>
              <w:right w:type="dxa" w:w="100"/>
            </w:tcMar>
          </w:tcPr>
          <w:p>
            <w:pPr>
              <w:spacing w:after="0"/>
            </w:pPr>
            <w:r>
              <w:rPr>
                <w:b w:val="false"/>
                <w:bCs w:val="false"/>
                <w:color w:val="000000"/>
                <w:sz w:val="19"/>
                <w:szCs w:val="19"/>
              </w:rPr>
              <w:t xml:space="preserve">LMS routing / course sync</w:t>
            </w:r>
          </w:p>
        </w:tc>
        <w:tc>
          <w:tcPr>
            <w:tcW w:type="dxa" w:w="2600"/>
            <w:shd w:fill="DCE6F1" w:val="clear"/>
            <w:tcMar>
              <w:top w:type="dxa" w:w="60"/>
              <w:left w:type="dxa" w:w="100"/>
              <w:bottom w:type="dxa" w:w="60"/>
              <w:right w:type="dxa" w:w="100"/>
            </w:tcMar>
          </w:tcPr>
          <w:p>
            <w:pPr>
              <w:spacing w:after="0"/>
            </w:pPr>
            <w:r>
              <w:rPr>
                <w:b w:val="false"/>
                <w:bCs w:val="false"/>
                <w:color w:val="000000"/>
                <w:sz w:val="19"/>
                <w:szCs w:val="19"/>
              </w:rPr>
              <w:t xml:space="preserve">eds.lms.routing, eds.integration.log</w:t>
            </w:r>
          </w:p>
        </w:tc>
        <w:tc>
          <w:tcPr>
            <w:tcW w:type="dxa" w:w="2900"/>
            <w:shd w:fill="DCE6F1" w:val="clear"/>
            <w:tcMar>
              <w:top w:type="dxa" w:w="60"/>
              <w:left w:type="dxa" w:w="100"/>
              <w:bottom w:type="dxa" w:w="60"/>
              <w:right w:type="dxa" w:w="100"/>
            </w:tcMar>
          </w:tcPr>
          <w:p>
            <w:pPr>
              <w:spacing w:after="0"/>
            </w:pPr>
            <w:r>
              <w:rPr>
                <w:b w:val="false"/>
                <w:bCs w:val="false"/>
                <w:color w:val="000000"/>
                <w:sz w:val="19"/>
                <w:szCs w:val="19"/>
              </w:rPr>
              <w:t xml:space="preserve">KEEP as an internal stub — the future LMS will itself be internally hosted per BRD Part 3 §8.1/8.3 ("Internal Hosting Only").</w:t>
            </w:r>
          </w:p>
        </w:tc>
        <w:tc>
          <w:tcPr>
            <w:tcW w:type="dxa" w:w="2600"/>
            <w:shd w:fill="DCE6F1" w:val="clear"/>
            <w:tcMar>
              <w:top w:type="dxa" w:w="60"/>
              <w:left w:type="dxa" w:w="100"/>
              <w:bottom w:type="dxa" w:w="60"/>
              <w:right w:type="dxa" w:w="100"/>
            </w:tcMar>
          </w:tcPr>
          <w:p>
            <w:pPr>
              <w:spacing w:after="0"/>
            </w:pPr>
            <w:r>
              <w:rPr>
                <w:b w:val="false"/>
                <w:bCs w:val="false"/>
                <w:color w:val="000000"/>
                <w:sz w:val="19"/>
                <w:szCs w:val="19"/>
              </w:rPr>
              <w:t xml:space="preserve">No change; real sync logic added once LMS exists, still bank-network-to-bank-network.</w:t>
            </w:r>
          </w:p>
        </w:tc>
      </w:tr>
    </w:tbl>
    <w:p>
      <w:pPr>
        <w:pStyle w:val="Heading1"/>
        <w:spacing w:after="160" w:before="320"/>
      </w:pPr>
      <w:r>
        <w:t xml:space="preserve">5. Template-Based Import – Design Principles</w:t>
      </w:r>
    </w:p>
    <w:p>
      <w:pPr>
        <w:pStyle w:val="ListParagraph"/>
        <w:numPr>
          <w:ilvl w:val="0"/>
          <w:numId w:val="2"/>
        </w:numPr>
        <w:spacing w:after="80" w:line="276"/>
      </w:pPr>
      <w:r>
        <w:t xml:space="preserve">Each import is a CSV/XLSX template with a fixed column layout, matching the pattern already proven in eds.pms.gap.import.</w:t>
      </w:r>
    </w:p>
    <w:p>
      <w:pPr>
        <w:pStyle w:val="ListParagraph"/>
        <w:numPr>
          <w:ilvl w:val="0"/>
          <w:numId w:val="2"/>
        </w:numPr>
        <w:spacing w:after="80" w:line="276"/>
      </w:pPr>
      <w:r>
        <w:t xml:space="preserve">Rows are validated on upload (employee code, session/course reference, value ranges); unmatched rows are skipped and reported back to the uploader, not silently dropped.</w:t>
      </w:r>
    </w:p>
    <w:p>
      <w:pPr>
        <w:pStyle w:val="ListParagraph"/>
        <w:numPr>
          <w:ilvl w:val="0"/>
          <w:numId w:val="2"/>
        </w:numPr>
        <w:spacing w:after="80" w:line="276"/>
      </w:pPr>
      <w:r>
        <w:t xml:space="preserve">Uploads are idempotent – re-importing the same file does not create duplicate records (existing SQL uniqueness constraints on session+employee[+type] are reused).</w:t>
      </w:r>
    </w:p>
    <w:p>
      <w:pPr>
        <w:pStyle w:val="ListParagraph"/>
        <w:numPr>
          <w:ilvl w:val="0"/>
          <w:numId w:val="2"/>
        </w:numPr>
        <w:spacing w:after="80" w:line="276"/>
      </w:pPr>
      <w:r>
        <w:t xml:space="preserve">Every import is written to eds.integration.log (already exists) with row counts, so L&amp;D and audit can see who imported what and when.</w:t>
      </w:r>
    </w:p>
    <w:p>
      <w:pPr>
        <w:pStyle w:val="Heading2"/>
        <w:spacing w:after="120" w:before="240"/>
      </w:pPr>
      <w:r>
        <w:t xml:space="preserve">5.1 Import Templates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3300"/>
        <w:gridCol w:w="1700"/>
        <w:gridCol w:w="2400"/>
      </w:tblGrid>
      <w:tr>
        <w:trPr>
          <w:tblHeader/>
        </w:trPr>
        <w:tc>
          <w:tcPr>
            <w:tcW w:type="dxa" w:w="2100"/>
            <w:shd w:fill="1F3864" w:val="clear"/>
            <w:tcMar>
              <w:top w:type="dxa" w:w="60"/>
              <w:left w:type="dxa" w:w="100"/>
              <w:bottom w:type="dxa" w:w="60"/>
              <w:right w:type="dxa" w:w="100"/>
            </w:tcMar>
          </w:tcPr>
          <w:p>
            <w:pPr>
              <w:spacing w:after="0"/>
            </w:pPr>
            <w:r>
              <w:rPr>
                <w:b/>
                <w:bCs/>
                <w:color w:val="FFFFFF"/>
                <w:sz w:val="19"/>
                <w:szCs w:val="19"/>
              </w:rPr>
              <w:t xml:space="preserve">Template</w:t>
            </w:r>
          </w:p>
        </w:tc>
        <w:tc>
          <w:tcPr>
            <w:tcW w:type="dxa" w:w="2100"/>
            <w:shd w:fill="1F3864" w:val="clear"/>
            <w:tcMar>
              <w:top w:type="dxa" w:w="60"/>
              <w:left w:type="dxa" w:w="100"/>
              <w:bottom w:type="dxa" w:w="60"/>
              <w:right w:type="dxa" w:w="100"/>
            </w:tcMar>
          </w:tcPr>
          <w:p>
            <w:pPr>
              <w:spacing w:after="0"/>
            </w:pPr>
            <w:r>
              <w:rPr>
                <w:b/>
                <w:bCs/>
                <w:color w:val="FFFFFF"/>
                <w:sz w:val="19"/>
                <w:szCs w:val="19"/>
              </w:rPr>
              <w:t xml:space="preserve">New/Existing wizard</w:t>
            </w:r>
          </w:p>
        </w:tc>
        <w:tc>
          <w:tcPr>
            <w:tcW w:type="dxa" w:w="3300"/>
            <w:shd w:fill="1F3864" w:val="clear"/>
            <w:tcMar>
              <w:top w:type="dxa" w:w="60"/>
              <w:left w:type="dxa" w:w="100"/>
              <w:bottom w:type="dxa" w:w="60"/>
              <w:right w:type="dxa" w:w="100"/>
            </w:tcMar>
          </w:tcPr>
          <w:p>
            <w:pPr>
              <w:spacing w:after="0"/>
            </w:pPr>
            <w:r>
              <w:rPr>
                <w:b/>
                <w:bCs/>
                <w:color w:val="FFFFFF"/>
                <w:sz w:val="19"/>
                <w:szCs w:val="19"/>
              </w:rPr>
              <w:t xml:space="preserve">Key columns</w:t>
            </w:r>
          </w:p>
        </w:tc>
        <w:tc>
          <w:tcPr>
            <w:tcW w:type="dxa" w:w="1700"/>
            <w:shd w:fill="1F3864" w:val="clear"/>
            <w:tcMar>
              <w:top w:type="dxa" w:w="60"/>
              <w:left w:type="dxa" w:w="100"/>
              <w:bottom w:type="dxa" w:w="60"/>
              <w:right w:type="dxa" w:w="100"/>
            </w:tcMar>
          </w:tcPr>
          <w:p>
            <w:pPr>
              <w:spacing w:after="0"/>
            </w:pPr>
            <w:r>
              <w:rPr>
                <w:b/>
                <w:bCs/>
                <w:color w:val="FFFFFF"/>
                <w:sz w:val="19"/>
                <w:szCs w:val="19"/>
              </w:rPr>
              <w:t xml:space="preserve">Who / When</w:t>
            </w:r>
          </w:p>
        </w:tc>
        <w:tc>
          <w:tcPr>
            <w:tcW w:type="dxa" w:w="2400"/>
            <w:shd w:fill="1F3864" w:val="clear"/>
            <w:tcMar>
              <w:top w:type="dxa" w:w="60"/>
              <w:left w:type="dxa" w:w="100"/>
              <w:bottom w:type="dxa" w:w="60"/>
              <w:right w:type="dxa" w:w="100"/>
            </w:tcMar>
          </w:tcPr>
          <w:p>
            <w:pPr>
              <w:spacing w:after="0"/>
            </w:pPr>
            <w:r>
              <w:rPr>
                <w:b/>
                <w:bCs/>
                <w:color w:val="FFFFFF"/>
                <w:sz w:val="19"/>
                <w:szCs w:val="19"/>
              </w:rPr>
              <w:t xml:space="preserve">Notes</w:t>
            </w:r>
          </w:p>
        </w:tc>
      </w:tr>
      <w:tr>
        <w:tc>
          <w:tcPr>
            <w:tcW w:type="dxa" w:w="2100"/>
            <w:tcMar>
              <w:top w:type="dxa" w:w="60"/>
              <w:left w:type="dxa" w:w="100"/>
              <w:bottom w:type="dxa" w:w="60"/>
              <w:right w:type="dxa" w:w="100"/>
            </w:tcMar>
          </w:tcPr>
          <w:p>
            <w:pPr>
              <w:spacing w:after="0"/>
            </w:pPr>
            <w:r>
              <w:rPr>
                <w:b w:val="false"/>
                <w:bCs w:val="false"/>
                <w:color w:val="000000"/>
                <w:sz w:val="19"/>
                <w:szCs w:val="19"/>
              </w:rPr>
              <w:t xml:space="preserve">TNA Gap Import</w:t>
            </w:r>
          </w:p>
        </w:tc>
        <w:tc>
          <w:tcPr>
            <w:tcW w:type="dxa" w:w="2100"/>
            <w:tcMar>
              <w:top w:type="dxa" w:w="60"/>
              <w:left w:type="dxa" w:w="100"/>
              <w:bottom w:type="dxa" w:w="60"/>
              <w:right w:type="dxa" w:w="100"/>
            </w:tcMar>
          </w:tcPr>
          <w:p>
            <w:pPr>
              <w:spacing w:after="0"/>
            </w:pPr>
            <w:r>
              <w:rPr>
                <w:b w:val="false"/>
                <w:bCs w:val="false"/>
                <w:color w:val="000000"/>
                <w:sz w:val="19"/>
                <w:szCs w:val="19"/>
              </w:rPr>
              <w:t xml:space="preserve">eds.pms.gap.import (exists)</w:t>
            </w:r>
          </w:p>
        </w:tc>
        <w:tc>
          <w:tcPr>
            <w:tcW w:type="dxa" w:w="3300"/>
            <w:tcMar>
              <w:top w:type="dxa" w:w="60"/>
              <w:left w:type="dxa" w:w="100"/>
              <w:bottom w:type="dxa" w:w="60"/>
              <w:right w:type="dxa" w:w="100"/>
            </w:tcMar>
          </w:tcPr>
          <w:p>
            <w:pPr>
              <w:spacing w:after="0"/>
            </w:pPr>
            <w:r>
              <w:rPr>
                <w:b w:val="false"/>
                <w:bCs w:val="false"/>
                <w:color w:val="000000"/>
                <w:sz w:val="19"/>
                <w:szCs w:val="19"/>
              </w:rPr>
              <w:t xml:space="preserve">employee_code, competency_code, gap_severity</w:t>
            </w:r>
          </w:p>
        </w:tc>
        <w:tc>
          <w:tcPr>
            <w:tcW w:type="dxa" w:w="1700"/>
            <w:tcMar>
              <w:top w:type="dxa" w:w="60"/>
              <w:left w:type="dxa" w:w="100"/>
              <w:bottom w:type="dxa" w:w="60"/>
              <w:right w:type="dxa" w:w="100"/>
            </w:tcMar>
          </w:tcPr>
          <w:p>
            <w:pPr>
              <w:spacing w:after="0"/>
            </w:pPr>
            <w:r>
              <w:rPr>
                <w:b w:val="false"/>
                <w:bCs w:val="false"/>
                <w:color w:val="000000"/>
                <w:sz w:val="19"/>
                <w:szCs w:val="19"/>
              </w:rPr>
              <w:t xml:space="preserve">L&amp;D officer, per TNA cycle</w:t>
            </w:r>
          </w:p>
        </w:tc>
        <w:tc>
          <w:tcPr>
            <w:tcW w:type="dxa" w:w="2400"/>
            <w:tcMar>
              <w:top w:type="dxa" w:w="60"/>
              <w:left w:type="dxa" w:w="100"/>
              <w:bottom w:type="dxa" w:w="60"/>
              <w:right w:type="dxa" w:w="100"/>
            </w:tcMar>
          </w:tcPr>
          <w:p>
            <w:pPr>
              <w:spacing w:after="0"/>
            </w:pPr>
            <w:r>
              <w:rPr>
                <w:b w:val="false"/>
                <w:bCs w:val="false"/>
                <w:color w:val="000000"/>
                <w:sz w:val="19"/>
                <w:szCs w:val="19"/>
              </w:rPr>
              <w:t xml:space="preserve">Pattern already proven — reuse as the template for the rest</w:t>
            </w:r>
          </w:p>
        </w:tc>
      </w:tr>
      <w:tr>
        <w:tc>
          <w:tcPr>
            <w:tcW w:type="dxa" w:w="2100"/>
            <w:shd w:fill="DCE6F1" w:val="clear"/>
            <w:tcMar>
              <w:top w:type="dxa" w:w="60"/>
              <w:left w:type="dxa" w:w="100"/>
              <w:bottom w:type="dxa" w:w="60"/>
              <w:right w:type="dxa" w:w="100"/>
            </w:tcMar>
          </w:tcPr>
          <w:p>
            <w:pPr>
              <w:spacing w:after="0"/>
            </w:pPr>
            <w:r>
              <w:rPr>
                <w:b w:val="false"/>
                <w:bCs w:val="false"/>
                <w:color w:val="000000"/>
                <w:sz w:val="19"/>
                <w:szCs w:val="19"/>
              </w:rPr>
              <w:t xml:space="preserve">Attendance Bulk Import</w:t>
            </w:r>
          </w:p>
        </w:tc>
        <w:tc>
          <w:tcPr>
            <w:tcW w:type="dxa" w:w="2100"/>
            <w:shd w:fill="DCE6F1" w:val="clear"/>
            <w:tcMar>
              <w:top w:type="dxa" w:w="60"/>
              <w:left w:type="dxa" w:w="100"/>
              <w:bottom w:type="dxa" w:w="60"/>
              <w:right w:type="dxa" w:w="100"/>
            </w:tcMar>
          </w:tcPr>
          <w:p>
            <w:pPr>
              <w:spacing w:after="0"/>
            </w:pPr>
            <w:r>
              <w:rPr>
                <w:b w:val="false"/>
                <w:bCs w:val="false"/>
                <w:color w:val="000000"/>
                <w:sz w:val="19"/>
                <w:szCs w:val="19"/>
              </w:rPr>
              <w:t xml:space="preserve">eds.attendance.import (new)</w:t>
            </w:r>
          </w:p>
        </w:tc>
        <w:tc>
          <w:tcPr>
            <w:tcW w:type="dxa" w:w="3300"/>
            <w:shd w:fill="DCE6F1" w:val="clear"/>
            <w:tcMar>
              <w:top w:type="dxa" w:w="60"/>
              <w:left w:type="dxa" w:w="100"/>
              <w:bottom w:type="dxa" w:w="60"/>
              <w:right w:type="dxa" w:w="100"/>
            </w:tcMar>
          </w:tcPr>
          <w:p>
            <w:pPr>
              <w:spacing w:after="0"/>
            </w:pPr>
            <w:r>
              <w:rPr>
                <w:b w:val="false"/>
                <w:bCs w:val="false"/>
                <w:color w:val="000000"/>
                <w:sz w:val="19"/>
                <w:szCs w:val="19"/>
              </w:rPr>
              <w:t xml:space="preserve">session_ref, employee_code, attendance_date, attended (Y/N), hours_attended</w:t>
            </w:r>
          </w:p>
        </w:tc>
        <w:tc>
          <w:tcPr>
            <w:tcW w:type="dxa" w:w="1700"/>
            <w:shd w:fill="DCE6F1" w:val="clear"/>
            <w:tcMar>
              <w:top w:type="dxa" w:w="60"/>
              <w:left w:type="dxa" w:w="100"/>
              <w:bottom w:type="dxa" w:w="60"/>
              <w:right w:type="dxa" w:w="100"/>
            </w:tcMar>
          </w:tcPr>
          <w:p>
            <w:pPr>
              <w:spacing w:after="0"/>
            </w:pPr>
            <w:r>
              <w:rPr>
                <w:b w:val="false"/>
                <w:bCs w:val="false"/>
                <w:color w:val="000000"/>
                <w:sz w:val="19"/>
                <w:szCs w:val="19"/>
              </w:rPr>
              <w:t xml:space="preserve">L&amp;D officer, per session/day</w:t>
            </w:r>
          </w:p>
        </w:tc>
        <w:tc>
          <w:tcPr>
            <w:tcW w:type="dxa" w:w="2400"/>
            <w:shd w:fill="DCE6F1" w:val="clear"/>
            <w:tcMar>
              <w:top w:type="dxa" w:w="60"/>
              <w:left w:type="dxa" w:w="100"/>
              <w:bottom w:type="dxa" w:w="60"/>
              <w:right w:type="dxa" w:w="100"/>
            </w:tcMar>
          </w:tcPr>
          <w:p>
            <w:pPr>
              <w:spacing w:after="0"/>
            </w:pPr>
            <w:r>
              <w:rPr>
                <w:b w:val="false"/>
                <w:bCs w:val="false"/>
                <w:color w:val="000000"/>
                <w:sz w:val="19"/>
                <w:szCs w:val="19"/>
              </w:rPr>
              <w:t xml:space="preserve">Replaces per-trainee live check-in expectation</w:t>
            </w:r>
          </w:p>
        </w:tc>
      </w:tr>
      <w:tr>
        <w:tc>
          <w:tcPr>
            <w:tcW w:type="dxa" w:w="2100"/>
            <w:tcMar>
              <w:top w:type="dxa" w:w="60"/>
              <w:left w:type="dxa" w:w="100"/>
              <w:bottom w:type="dxa" w:w="60"/>
              <w:right w:type="dxa" w:w="100"/>
            </w:tcMar>
          </w:tcPr>
          <w:p>
            <w:pPr>
              <w:spacing w:after="0"/>
            </w:pPr>
            <w:r>
              <w:rPr>
                <w:b w:val="false"/>
                <w:bCs w:val="false"/>
                <w:color w:val="000000"/>
                <w:sz w:val="19"/>
                <w:szCs w:val="19"/>
              </w:rPr>
              <w:t xml:space="preserve">Assessment Score Import</w:t>
            </w:r>
          </w:p>
        </w:tc>
        <w:tc>
          <w:tcPr>
            <w:tcW w:type="dxa" w:w="2100"/>
            <w:tcMar>
              <w:top w:type="dxa" w:w="60"/>
              <w:left w:type="dxa" w:w="100"/>
              <w:bottom w:type="dxa" w:w="60"/>
              <w:right w:type="dxa" w:w="100"/>
            </w:tcMar>
          </w:tcPr>
          <w:p>
            <w:pPr>
              <w:spacing w:after="0"/>
            </w:pPr>
            <w:r>
              <w:rPr>
                <w:b w:val="false"/>
                <w:bCs w:val="false"/>
                <w:color w:val="000000"/>
                <w:sz w:val="19"/>
                <w:szCs w:val="19"/>
              </w:rPr>
              <w:t xml:space="preserve">eds.assessment.import (new)</w:t>
            </w:r>
          </w:p>
        </w:tc>
        <w:tc>
          <w:tcPr>
            <w:tcW w:type="dxa" w:w="3300"/>
            <w:tcMar>
              <w:top w:type="dxa" w:w="60"/>
              <w:left w:type="dxa" w:w="100"/>
              <w:bottom w:type="dxa" w:w="60"/>
              <w:right w:type="dxa" w:w="100"/>
            </w:tcMar>
          </w:tcPr>
          <w:p>
            <w:pPr>
              <w:spacing w:after="0"/>
            </w:pPr>
            <w:r>
              <w:rPr>
                <w:b w:val="false"/>
                <w:bCs w:val="false"/>
                <w:color w:val="000000"/>
                <w:sz w:val="19"/>
                <w:szCs w:val="19"/>
              </w:rPr>
              <w:t xml:space="preserve">session_ref, employee_code, assessment_type (pre/post/skills_test), score, assessment_date</w:t>
            </w:r>
          </w:p>
        </w:tc>
        <w:tc>
          <w:tcPr>
            <w:tcW w:type="dxa" w:w="1700"/>
            <w:tcMar>
              <w:top w:type="dxa" w:w="60"/>
              <w:left w:type="dxa" w:w="100"/>
              <w:bottom w:type="dxa" w:w="60"/>
              <w:right w:type="dxa" w:w="100"/>
            </w:tcMar>
          </w:tcPr>
          <w:p>
            <w:pPr>
              <w:spacing w:after="0"/>
            </w:pPr>
            <w:r>
              <w:rPr>
                <w:b w:val="false"/>
                <w:bCs w:val="false"/>
                <w:color w:val="000000"/>
                <w:sz w:val="19"/>
                <w:szCs w:val="19"/>
              </w:rPr>
              <w:t xml:space="preserve">L&amp;D officer, after marking</w:t>
            </w:r>
          </w:p>
        </w:tc>
        <w:tc>
          <w:tcPr>
            <w:tcW w:type="dxa" w:w="2400"/>
            <w:tcMar>
              <w:top w:type="dxa" w:w="60"/>
              <w:left w:type="dxa" w:w="100"/>
              <w:bottom w:type="dxa" w:w="60"/>
              <w:right w:type="dxa" w:w="100"/>
            </w:tcMar>
          </w:tcPr>
          <w:p>
            <w:pPr>
              <w:spacing w:after="0"/>
            </w:pPr>
            <w:r>
              <w:rPr>
                <w:b w:val="false"/>
                <w:bCs w:val="false"/>
                <w:color w:val="000000"/>
                <w:sz w:val="19"/>
                <w:szCs w:val="19"/>
              </w:rPr>
              <w:t xml:space="preserve">Replaces trainer/trainee direct entry</w:t>
            </w:r>
          </w:p>
        </w:tc>
      </w:tr>
      <w:tr>
        <w:tc>
          <w:tcPr>
            <w:tcW w:type="dxa" w:w="2100"/>
            <w:shd w:fill="DCE6F1" w:val="clear"/>
            <w:tcMar>
              <w:top w:type="dxa" w:w="60"/>
              <w:left w:type="dxa" w:w="100"/>
              <w:bottom w:type="dxa" w:w="60"/>
              <w:right w:type="dxa" w:w="100"/>
            </w:tcMar>
          </w:tcPr>
          <w:p>
            <w:pPr>
              <w:spacing w:after="0"/>
            </w:pPr>
            <w:r>
              <w:rPr>
                <w:b w:val="false"/>
                <w:bCs w:val="false"/>
                <w:color w:val="000000"/>
                <w:sz w:val="19"/>
                <w:szCs w:val="19"/>
              </w:rPr>
              <w:t xml:space="preserve">Level 1 Reaction Survey Import</w:t>
            </w:r>
          </w:p>
        </w:tc>
        <w:tc>
          <w:tcPr>
            <w:tcW w:type="dxa" w:w="2100"/>
            <w:shd w:fill="DCE6F1" w:val="clear"/>
            <w:tcMar>
              <w:top w:type="dxa" w:w="60"/>
              <w:left w:type="dxa" w:w="100"/>
              <w:bottom w:type="dxa" w:w="60"/>
              <w:right w:type="dxa" w:w="100"/>
            </w:tcMar>
          </w:tcPr>
          <w:p>
            <w:pPr>
              <w:spacing w:after="0"/>
            </w:pPr>
            <w:r>
              <w:rPr>
                <w:b w:val="false"/>
                <w:bCs w:val="false"/>
                <w:color w:val="000000"/>
                <w:sz w:val="19"/>
                <w:szCs w:val="19"/>
              </w:rPr>
              <w:t xml:space="preserve">eds.level1.import (new)</w:t>
            </w:r>
          </w:p>
        </w:tc>
        <w:tc>
          <w:tcPr>
            <w:tcW w:type="dxa" w:w="3300"/>
            <w:shd w:fill="DCE6F1" w:val="clear"/>
            <w:tcMar>
              <w:top w:type="dxa" w:w="60"/>
              <w:left w:type="dxa" w:w="100"/>
              <w:bottom w:type="dxa" w:w="60"/>
              <w:right w:type="dxa" w:w="100"/>
            </w:tcMar>
          </w:tcPr>
          <w:p>
            <w:pPr>
              <w:spacing w:after="0"/>
            </w:pPr>
            <w:r>
              <w:rPr>
                <w:b w:val="false"/>
                <w:bCs w:val="false"/>
                <w:color w:val="000000"/>
                <w:sz w:val="19"/>
                <w:szCs w:val="19"/>
              </w:rPr>
              <w:t xml:space="preserve">session_ref, employee_code, question responses, overall_score, comments</w:t>
            </w:r>
          </w:p>
        </w:tc>
        <w:tc>
          <w:tcPr>
            <w:tcW w:type="dxa" w:w="1700"/>
            <w:shd w:fill="DCE6F1" w:val="clear"/>
            <w:tcMar>
              <w:top w:type="dxa" w:w="60"/>
              <w:left w:type="dxa" w:w="100"/>
              <w:bottom w:type="dxa" w:w="60"/>
              <w:right w:type="dxa" w:w="100"/>
            </w:tcMar>
          </w:tcPr>
          <w:p>
            <w:pPr>
              <w:spacing w:after="0"/>
            </w:pPr>
            <w:r>
              <w:rPr>
                <w:b w:val="false"/>
                <w:bCs w:val="false"/>
                <w:color w:val="000000"/>
                <w:sz w:val="19"/>
                <w:szCs w:val="19"/>
              </w:rPr>
              <w:t xml:space="preserve">L&amp;D officer, post-session</w:t>
            </w:r>
          </w:p>
        </w:tc>
        <w:tc>
          <w:tcPr>
            <w:tcW w:type="dxa" w:w="2400"/>
            <w:shd w:fill="DCE6F1" w:val="clear"/>
            <w:tcMar>
              <w:top w:type="dxa" w:w="60"/>
              <w:left w:type="dxa" w:w="100"/>
              <w:bottom w:type="dxa" w:w="60"/>
              <w:right w:type="dxa" w:w="100"/>
            </w:tcMar>
          </w:tcPr>
          <w:p>
            <w:pPr>
              <w:spacing w:after="0"/>
            </w:pPr>
            <w:r>
              <w:rPr>
                <w:b w:val="false"/>
                <w:bCs w:val="false"/>
                <w:color w:val="000000"/>
                <w:sz w:val="19"/>
                <w:szCs w:val="19"/>
              </w:rPr>
              <w:t xml:space="preserve">Replaces emailed survey link</w:t>
            </w:r>
          </w:p>
        </w:tc>
      </w:tr>
      <w:tr>
        <w:tc>
          <w:tcPr>
            <w:tcW w:type="dxa" w:w="2100"/>
            <w:tcMar>
              <w:top w:type="dxa" w:w="60"/>
              <w:left w:type="dxa" w:w="100"/>
              <w:bottom w:type="dxa" w:w="60"/>
              <w:right w:type="dxa" w:w="100"/>
            </w:tcMar>
          </w:tcPr>
          <w:p>
            <w:pPr>
              <w:spacing w:after="0"/>
            </w:pPr>
            <w:r>
              <w:rPr>
                <w:b w:val="false"/>
                <w:bCs w:val="false"/>
                <w:color w:val="000000"/>
                <w:sz w:val="19"/>
                <w:szCs w:val="19"/>
              </w:rPr>
              <w:t xml:space="preserve">Vendor &amp; Contract Register Import</w:t>
            </w:r>
          </w:p>
        </w:tc>
        <w:tc>
          <w:tcPr>
            <w:tcW w:type="dxa" w:w="2100"/>
            <w:tcMar>
              <w:top w:type="dxa" w:w="60"/>
              <w:left w:type="dxa" w:w="100"/>
              <w:bottom w:type="dxa" w:w="60"/>
              <w:right w:type="dxa" w:w="100"/>
            </w:tcMar>
          </w:tcPr>
          <w:p>
            <w:pPr>
              <w:spacing w:after="0"/>
            </w:pPr>
            <w:r>
              <w:rPr>
                <w:b w:val="false"/>
                <w:bCs w:val="false"/>
                <w:color w:val="000000"/>
                <w:sz w:val="19"/>
                <w:szCs w:val="19"/>
              </w:rPr>
              <w:t xml:space="preserve">eds.vendor.contract.import (new)</w:t>
            </w:r>
          </w:p>
        </w:tc>
        <w:tc>
          <w:tcPr>
            <w:tcW w:type="dxa" w:w="3300"/>
            <w:tcMar>
              <w:top w:type="dxa" w:w="60"/>
              <w:left w:type="dxa" w:w="100"/>
              <w:bottom w:type="dxa" w:w="60"/>
              <w:right w:type="dxa" w:w="100"/>
            </w:tcMar>
          </w:tcPr>
          <w:p>
            <w:pPr>
              <w:spacing w:after="0"/>
            </w:pPr>
            <w:r>
              <w:rPr>
                <w:b w:val="false"/>
                <w:bCs w:val="false"/>
                <w:color w:val="000000"/>
                <w:sz w:val="19"/>
                <w:szCs w:val="19"/>
              </w:rPr>
              <w:t xml:space="preserve">vendor_name, category, contract_ref, program, cost, start_date, end_date</w:t>
            </w:r>
          </w:p>
        </w:tc>
        <w:tc>
          <w:tcPr>
            <w:tcW w:type="dxa" w:w="1700"/>
            <w:tcMar>
              <w:top w:type="dxa" w:w="60"/>
              <w:left w:type="dxa" w:w="100"/>
              <w:bottom w:type="dxa" w:w="60"/>
              <w:right w:type="dxa" w:w="100"/>
            </w:tcMar>
          </w:tcPr>
          <w:p>
            <w:pPr>
              <w:spacing w:after="0"/>
            </w:pPr>
            <w:r>
              <w:rPr>
                <w:b w:val="false"/>
                <w:bCs w:val="false"/>
                <w:color w:val="000000"/>
                <w:sz w:val="19"/>
                <w:szCs w:val="19"/>
              </w:rPr>
              <w:t xml:space="preserve">Procurement/L&amp;D, on award or migration</w:t>
            </w:r>
          </w:p>
        </w:tc>
        <w:tc>
          <w:tcPr>
            <w:tcW w:type="dxa" w:w="2400"/>
            <w:tcMar>
              <w:top w:type="dxa" w:w="60"/>
              <w:left w:type="dxa" w:w="100"/>
              <w:bottom w:type="dxa" w:w="60"/>
              <w:right w:type="dxa" w:w="100"/>
            </w:tcMar>
          </w:tcPr>
          <w:p>
            <w:pPr>
              <w:spacing w:after="0"/>
            </w:pPr>
            <w:r>
              <w:rPr>
                <w:b w:val="false"/>
                <w:bCs w:val="false"/>
                <w:color w:val="000000"/>
                <w:sz w:val="19"/>
                <w:szCs w:val="19"/>
              </w:rPr>
              <w:t xml:space="preserve">Replaces the RFP/bidding workflow</w:t>
            </w:r>
          </w:p>
        </w:tc>
      </w:tr>
    </w:tbl>
    <w:p>
      <w:pPr>
        <w:pStyle w:val="Heading1"/>
        <w:spacing w:after="160" w:before="320"/>
      </w:pPr>
      <w:r>
        <w:t xml:space="preserve">6. Revised Training Lifecycle</w:t>
      </w:r>
    </w:p>
    <w:p>
      <w:pPr>
        <w:spacing w:after="160" w:line="276"/>
      </w:pPr>
      <w:r>
        <w:t xml:space="preserve">The original 12-stage roadmap (Training Lifecycle Roadmap deck) is retained in structure but the vendor-sourcing and direct-entry stages are simplified as follows:</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6800"/>
      </w:tblGrid>
      <w:tr>
        <w:trPr>
          <w:tblHeader/>
        </w:trPr>
        <w:tc>
          <w:tcPr>
            <w:tcW w:type="dxa" w:w="500"/>
            <w:shd w:fill="1F3864" w:val="clear"/>
            <w:tcMar>
              <w:top w:type="dxa" w:w="60"/>
              <w:left w:type="dxa" w:w="100"/>
              <w:bottom w:type="dxa" w:w="60"/>
              <w:right w:type="dxa" w:w="100"/>
            </w:tcMar>
          </w:tcPr>
          <w:p>
            <w:pPr>
              <w:spacing w:after="0"/>
            </w:pPr>
            <w:r>
              <w:rPr>
                <w:b/>
                <w:bCs/>
                <w:color w:val="FFFFFF"/>
                <w:sz w:val="19"/>
                <w:szCs w:val="19"/>
              </w:rPr>
              <w:t xml:space="preserve">#</w:t>
            </w:r>
          </w:p>
        </w:tc>
        <w:tc>
          <w:tcPr>
            <w:tcW w:type="dxa" w:w="3800"/>
            <w:shd w:fill="1F3864" w:val="clear"/>
            <w:tcMar>
              <w:top w:type="dxa" w:w="60"/>
              <w:left w:type="dxa" w:w="100"/>
              <w:bottom w:type="dxa" w:w="60"/>
              <w:right w:type="dxa" w:w="100"/>
            </w:tcMar>
          </w:tcPr>
          <w:p>
            <w:pPr>
              <w:spacing w:after="0"/>
            </w:pPr>
            <w:r>
              <w:rPr>
                <w:b/>
                <w:bCs/>
                <w:color w:val="FFFFFF"/>
                <w:sz w:val="19"/>
                <w:szCs w:val="19"/>
              </w:rPr>
              <w:t xml:space="preserve">Stage</w:t>
            </w:r>
          </w:p>
        </w:tc>
        <w:tc>
          <w:tcPr>
            <w:tcW w:type="dxa" w:w="6800"/>
            <w:shd w:fill="1F3864" w:val="clear"/>
            <w:tcMar>
              <w:top w:type="dxa" w:w="60"/>
              <w:left w:type="dxa" w:w="100"/>
              <w:bottom w:type="dxa" w:w="60"/>
              <w:right w:type="dxa" w:w="100"/>
            </w:tcMar>
          </w:tcPr>
          <w:p>
            <w:pPr>
              <w:spacing w:after="0"/>
            </w:pPr>
            <w:r>
              <w:rPr>
                <w:b/>
                <w:bCs/>
                <w:color w:val="FFFFFF"/>
                <w:sz w:val="19"/>
                <w:szCs w:val="19"/>
              </w:rPr>
              <w:t xml:space="preserve">Revision</w:t>
            </w:r>
          </w:p>
        </w:tc>
      </w:tr>
      <w:tr>
        <w:tc>
          <w:tcPr>
            <w:tcW w:type="dxa" w:w="500"/>
            <w:tcMar>
              <w:top w:type="dxa" w:w="60"/>
              <w:left w:type="dxa" w:w="100"/>
              <w:bottom w:type="dxa" w:w="60"/>
              <w:right w:type="dxa" w:w="100"/>
            </w:tcMar>
          </w:tcPr>
          <w:p>
            <w:pPr>
              <w:spacing w:after="0"/>
            </w:pPr>
            <w:r>
              <w:rPr>
                <w:b w:val="false"/>
                <w:bCs w:val="false"/>
                <w:color w:val="000000"/>
                <w:sz w:val="19"/>
                <w:szCs w:val="19"/>
              </w:rPr>
              <w:t xml:space="preserve">1</w:t>
            </w:r>
          </w:p>
        </w:tc>
        <w:tc>
          <w:tcPr>
            <w:tcW w:type="dxa" w:w="3800"/>
            <w:tcMar>
              <w:top w:type="dxa" w:w="60"/>
              <w:left w:type="dxa" w:w="100"/>
              <w:bottom w:type="dxa" w:w="60"/>
              <w:right w:type="dxa" w:w="100"/>
            </w:tcMar>
          </w:tcPr>
          <w:p>
            <w:pPr>
              <w:spacing w:after="0"/>
            </w:pPr>
            <w:r>
              <w:rPr>
                <w:b w:val="false"/>
                <w:bCs w:val="false"/>
                <w:color w:val="000000"/>
                <w:sz w:val="19"/>
                <w:szCs w:val="19"/>
              </w:rPr>
              <w:t xml:space="preserve">Training Needs Assessment (TNA)</w:t>
            </w:r>
          </w:p>
        </w:tc>
        <w:tc>
          <w:tcPr>
            <w:tcW w:type="dxa" w:w="6800"/>
            <w:tcMar>
              <w:top w:type="dxa" w:w="60"/>
              <w:left w:type="dxa" w:w="100"/>
              <w:bottom w:type="dxa" w:w="60"/>
              <w:right w:type="dxa" w:w="100"/>
            </w:tcMar>
          </w:tcPr>
          <w:p>
            <w:pPr>
              <w:spacing w:after="0"/>
            </w:pPr>
            <w:r>
              <w:rPr>
                <w:b w:val="false"/>
                <w:bCs w:val="false"/>
                <w:color w:val="000000"/>
                <w:sz w:val="19"/>
                <w:szCs w:val="19"/>
              </w:rPr>
              <w:t xml:space="preserve">Unchanged</w:t>
            </w:r>
          </w:p>
        </w:tc>
      </w:tr>
      <w:tr>
        <w:tc>
          <w:tcPr>
            <w:tcW w:type="dxa" w:w="500"/>
            <w:shd w:fill="DCE6F1" w:val="clear"/>
            <w:tcMar>
              <w:top w:type="dxa" w:w="60"/>
              <w:left w:type="dxa" w:w="100"/>
              <w:bottom w:type="dxa" w:w="60"/>
              <w:right w:type="dxa" w:w="100"/>
            </w:tcMar>
          </w:tcPr>
          <w:p>
            <w:pPr>
              <w:spacing w:after="0"/>
            </w:pPr>
            <w:r>
              <w:rPr>
                <w:b w:val="false"/>
                <w:bCs w:val="false"/>
                <w:color w:val="000000"/>
                <w:sz w:val="19"/>
                <w:szCs w:val="19"/>
              </w:rPr>
              <w:t xml:space="preserve">2</w:t>
            </w:r>
          </w:p>
        </w:tc>
        <w:tc>
          <w:tcPr>
            <w:tcW w:type="dxa" w:w="3800"/>
            <w:shd w:fill="DCE6F1" w:val="clear"/>
            <w:tcMar>
              <w:top w:type="dxa" w:w="60"/>
              <w:left w:type="dxa" w:w="100"/>
              <w:bottom w:type="dxa" w:w="60"/>
              <w:right w:type="dxa" w:w="100"/>
            </w:tcMar>
          </w:tcPr>
          <w:p>
            <w:pPr>
              <w:spacing w:after="0"/>
            </w:pPr>
            <w:r>
              <w:rPr>
                <w:b w:val="false"/>
                <w:bCs w:val="false"/>
                <w:color w:val="000000"/>
                <w:sz w:val="19"/>
                <w:szCs w:val="19"/>
              </w:rPr>
              <w:t xml:space="preserve">Annual L&amp;D Plan &amp; Calendar</w:t>
            </w:r>
          </w:p>
        </w:tc>
        <w:tc>
          <w:tcPr>
            <w:tcW w:type="dxa" w:w="6800"/>
            <w:shd w:fill="DCE6F1" w:val="clear"/>
            <w:tcMar>
              <w:top w:type="dxa" w:w="60"/>
              <w:left w:type="dxa" w:w="100"/>
              <w:bottom w:type="dxa" w:w="60"/>
              <w:right w:type="dxa" w:w="100"/>
            </w:tcMar>
          </w:tcPr>
          <w:p>
            <w:pPr>
              <w:spacing w:after="0"/>
            </w:pPr>
            <w:r>
              <w:rPr>
                <w:b w:val="false"/>
                <w:bCs w:val="false"/>
                <w:color w:val="000000"/>
                <w:sz w:val="19"/>
                <w:szCs w:val="19"/>
              </w:rPr>
              <w:t xml:space="preserve">Unchanged</w:t>
            </w:r>
          </w:p>
        </w:tc>
      </w:tr>
      <w:tr>
        <w:tc>
          <w:tcPr>
            <w:tcW w:type="dxa" w:w="500"/>
            <w:tcMar>
              <w:top w:type="dxa" w:w="60"/>
              <w:left w:type="dxa" w:w="100"/>
              <w:bottom w:type="dxa" w:w="60"/>
              <w:right w:type="dxa" w:w="100"/>
            </w:tcMar>
          </w:tcPr>
          <w:p>
            <w:pPr>
              <w:spacing w:after="0"/>
            </w:pPr>
            <w:r>
              <w:rPr>
                <w:b w:val="false"/>
                <w:bCs w:val="false"/>
                <w:color w:val="000000"/>
                <w:sz w:val="19"/>
                <w:szCs w:val="19"/>
              </w:rPr>
              <w:t xml:space="preserve">3</w:t>
            </w:r>
          </w:p>
        </w:tc>
        <w:tc>
          <w:tcPr>
            <w:tcW w:type="dxa" w:w="3800"/>
            <w:tcMar>
              <w:top w:type="dxa" w:w="60"/>
              <w:left w:type="dxa" w:w="100"/>
              <w:bottom w:type="dxa" w:w="60"/>
              <w:right w:type="dxa" w:w="100"/>
            </w:tcMar>
          </w:tcPr>
          <w:p>
            <w:pPr>
              <w:spacing w:after="0"/>
            </w:pPr>
            <w:r>
              <w:rPr>
                <w:b w:val="false"/>
                <w:bCs w:val="false"/>
                <w:color w:val="000000"/>
                <w:sz w:val="19"/>
                <w:szCs w:val="19"/>
              </w:rPr>
              <w:t xml:space="preserve">Training Design &amp; Budget Approval</w:t>
            </w:r>
          </w:p>
        </w:tc>
        <w:tc>
          <w:tcPr>
            <w:tcW w:type="dxa" w:w="6800"/>
            <w:tcMar>
              <w:top w:type="dxa" w:w="60"/>
              <w:left w:type="dxa" w:w="100"/>
              <w:bottom w:type="dxa" w:w="60"/>
              <w:right w:type="dxa" w:w="100"/>
            </w:tcMar>
          </w:tcPr>
          <w:p>
            <w:pPr>
              <w:spacing w:after="0"/>
            </w:pPr>
            <w:r>
              <w:rPr>
                <w:b w:val="false"/>
                <w:bCs w:val="false"/>
                <w:color w:val="000000"/>
                <w:sz w:val="19"/>
                <w:szCs w:val="19"/>
              </w:rPr>
              <w:t xml:space="preserve">Merged; formal RFP design step dropped, cost estimate/budget approval kept</w:t>
            </w:r>
          </w:p>
        </w:tc>
      </w:tr>
      <w:tr>
        <w:tc>
          <w:tcPr>
            <w:tcW w:type="dxa" w:w="500"/>
            <w:shd w:fill="DCE6F1" w:val="clear"/>
            <w:tcMar>
              <w:top w:type="dxa" w:w="60"/>
              <w:left w:type="dxa" w:w="100"/>
              <w:bottom w:type="dxa" w:w="60"/>
              <w:right w:type="dxa" w:w="100"/>
            </w:tcMar>
          </w:tcPr>
          <w:p>
            <w:pPr>
              <w:spacing w:after="0"/>
            </w:pPr>
            <w:r>
              <w:rPr>
                <w:b w:val="false"/>
                <w:bCs w:val="false"/>
                <w:color w:val="000000"/>
                <w:sz w:val="19"/>
                <w:szCs w:val="19"/>
              </w:rPr>
              <w:t xml:space="preserve">4</w:t>
            </w:r>
          </w:p>
        </w:tc>
        <w:tc>
          <w:tcPr>
            <w:tcW w:type="dxa" w:w="3800"/>
            <w:shd w:fill="DCE6F1" w:val="clear"/>
            <w:tcMar>
              <w:top w:type="dxa" w:w="60"/>
              <w:left w:type="dxa" w:w="100"/>
              <w:bottom w:type="dxa" w:w="60"/>
              <w:right w:type="dxa" w:w="100"/>
            </w:tcMar>
          </w:tcPr>
          <w:p>
            <w:pPr>
              <w:spacing w:after="0"/>
            </w:pPr>
            <w:r>
              <w:rPr>
                <w:b w:val="false"/>
                <w:bCs w:val="false"/>
                <w:color w:val="000000"/>
                <w:sz w:val="19"/>
                <w:szCs w:val="19"/>
              </w:rPr>
              <w:t xml:space="preserve">Logistics &amp; Vendor/Venue Record</w:t>
            </w:r>
          </w:p>
        </w:tc>
        <w:tc>
          <w:tcPr>
            <w:tcW w:type="dxa" w:w="6800"/>
            <w:shd w:fill="DCE6F1" w:val="clear"/>
            <w:tcMar>
              <w:top w:type="dxa" w:w="60"/>
              <w:left w:type="dxa" w:w="100"/>
              <w:bottom w:type="dxa" w:w="60"/>
              <w:right w:type="dxa" w:w="100"/>
            </w:tcMar>
          </w:tcPr>
          <w:p>
            <w:pPr>
              <w:spacing w:after="0"/>
            </w:pPr>
            <w:r>
              <w:rPr>
                <w:b w:val="false"/>
                <w:bCs w:val="false"/>
                <w:color w:val="000000"/>
                <w:sz w:val="19"/>
                <w:szCs w:val="19"/>
              </w:rPr>
              <w:t xml:space="preserve">Simplified — post-award record only, no bidding</w:t>
            </w:r>
          </w:p>
        </w:tc>
      </w:tr>
      <w:tr>
        <w:tc>
          <w:tcPr>
            <w:tcW w:type="dxa" w:w="500"/>
            <w:tcMar>
              <w:top w:type="dxa" w:w="60"/>
              <w:left w:type="dxa" w:w="100"/>
              <w:bottom w:type="dxa" w:w="60"/>
              <w:right w:type="dxa" w:w="100"/>
            </w:tcMar>
          </w:tcPr>
          <w:p>
            <w:pPr>
              <w:spacing w:after="0"/>
            </w:pPr>
            <w:r>
              <w:rPr>
                <w:b w:val="false"/>
                <w:bCs w:val="false"/>
                <w:color w:val="000000"/>
                <w:sz w:val="19"/>
                <w:szCs w:val="19"/>
              </w:rPr>
              <w:t xml:space="preserve">5</w:t>
            </w:r>
          </w:p>
        </w:tc>
        <w:tc>
          <w:tcPr>
            <w:tcW w:type="dxa" w:w="3800"/>
            <w:tcMar>
              <w:top w:type="dxa" w:w="60"/>
              <w:left w:type="dxa" w:w="100"/>
              <w:bottom w:type="dxa" w:w="60"/>
              <w:right w:type="dxa" w:w="100"/>
            </w:tcMar>
          </w:tcPr>
          <w:p>
            <w:pPr>
              <w:spacing w:after="0"/>
            </w:pPr>
            <w:r>
              <w:rPr>
                <w:b w:val="false"/>
                <w:bCs w:val="false"/>
                <w:color w:val="000000"/>
                <w:sz w:val="19"/>
                <w:szCs w:val="19"/>
              </w:rPr>
              <w:t xml:space="preserve">Scheduling &amp; Arrangements</w:t>
            </w:r>
          </w:p>
        </w:tc>
        <w:tc>
          <w:tcPr>
            <w:tcW w:type="dxa" w:w="6800"/>
            <w:tcMar>
              <w:top w:type="dxa" w:w="60"/>
              <w:left w:type="dxa" w:w="100"/>
              <w:bottom w:type="dxa" w:w="60"/>
              <w:right w:type="dxa" w:w="100"/>
            </w:tcMar>
          </w:tcPr>
          <w:p>
            <w:pPr>
              <w:spacing w:after="0"/>
            </w:pPr>
            <w:r>
              <w:rPr>
                <w:b w:val="false"/>
                <w:bCs w:val="false"/>
                <w:color w:val="000000"/>
                <w:sz w:val="19"/>
                <w:szCs w:val="19"/>
              </w:rPr>
              <w:t xml:space="preserve">Unchanged</w:t>
            </w:r>
          </w:p>
        </w:tc>
      </w:tr>
      <w:tr>
        <w:tc>
          <w:tcPr>
            <w:tcW w:type="dxa" w:w="500"/>
            <w:shd w:fill="DCE6F1" w:val="clear"/>
            <w:tcMar>
              <w:top w:type="dxa" w:w="60"/>
              <w:left w:type="dxa" w:w="100"/>
              <w:bottom w:type="dxa" w:w="60"/>
              <w:right w:type="dxa" w:w="100"/>
            </w:tcMar>
          </w:tcPr>
          <w:p>
            <w:pPr>
              <w:spacing w:after="0"/>
            </w:pPr>
            <w:r>
              <w:rPr>
                <w:b w:val="false"/>
                <w:bCs w:val="false"/>
                <w:color w:val="000000"/>
                <w:sz w:val="19"/>
                <w:szCs w:val="19"/>
              </w:rPr>
              <w:t xml:space="preserve">6</w:t>
            </w:r>
          </w:p>
        </w:tc>
        <w:tc>
          <w:tcPr>
            <w:tcW w:type="dxa" w:w="3800"/>
            <w:shd w:fill="DCE6F1" w:val="clear"/>
            <w:tcMar>
              <w:top w:type="dxa" w:w="60"/>
              <w:left w:type="dxa" w:w="100"/>
              <w:bottom w:type="dxa" w:w="60"/>
              <w:right w:type="dxa" w:w="100"/>
            </w:tcMar>
          </w:tcPr>
          <w:p>
            <w:pPr>
              <w:spacing w:after="0"/>
            </w:pPr>
            <w:r>
              <w:rPr>
                <w:b w:val="false"/>
                <w:bCs w:val="false"/>
                <w:color w:val="000000"/>
                <w:sz w:val="19"/>
                <w:szCs w:val="19"/>
              </w:rPr>
              <w:t xml:space="preserve">Nomination, Approval &amp; Enrollment</w:t>
            </w:r>
          </w:p>
        </w:tc>
        <w:tc>
          <w:tcPr>
            <w:tcW w:type="dxa" w:w="6800"/>
            <w:shd w:fill="DCE6F1" w:val="clear"/>
            <w:tcMar>
              <w:top w:type="dxa" w:w="60"/>
              <w:left w:type="dxa" w:w="100"/>
              <w:bottom w:type="dxa" w:w="60"/>
              <w:right w:type="dxa" w:w="100"/>
            </w:tcMar>
          </w:tcPr>
          <w:p>
            <w:pPr>
              <w:spacing w:after="0"/>
            </w:pPr>
            <w:r>
              <w:rPr>
                <w:b w:val="false"/>
                <w:bCs w:val="false"/>
                <w:color w:val="000000"/>
                <w:sz w:val="19"/>
                <w:szCs w:val="19"/>
              </w:rPr>
              <w:t xml:space="preserve">Unchanged</w:t>
            </w:r>
          </w:p>
        </w:tc>
      </w:tr>
      <w:tr>
        <w:tc>
          <w:tcPr>
            <w:tcW w:type="dxa" w:w="500"/>
            <w:tcMar>
              <w:top w:type="dxa" w:w="60"/>
              <w:left w:type="dxa" w:w="100"/>
              <w:bottom w:type="dxa" w:w="60"/>
              <w:right w:type="dxa" w:w="100"/>
            </w:tcMar>
          </w:tcPr>
          <w:p>
            <w:pPr>
              <w:spacing w:after="0"/>
            </w:pPr>
            <w:r>
              <w:rPr>
                <w:b w:val="false"/>
                <w:bCs w:val="false"/>
                <w:color w:val="000000"/>
                <w:sz w:val="19"/>
                <w:szCs w:val="19"/>
              </w:rPr>
              <w:t xml:space="preserve">7</w:t>
            </w:r>
          </w:p>
        </w:tc>
        <w:tc>
          <w:tcPr>
            <w:tcW w:type="dxa" w:w="3800"/>
            <w:tcMar>
              <w:top w:type="dxa" w:w="60"/>
              <w:left w:type="dxa" w:w="100"/>
              <w:bottom w:type="dxa" w:w="60"/>
              <w:right w:type="dxa" w:w="100"/>
            </w:tcMar>
          </w:tcPr>
          <w:p>
            <w:pPr>
              <w:spacing w:after="0"/>
            </w:pPr>
            <w:r>
              <w:rPr>
                <w:b w:val="false"/>
                <w:bCs w:val="false"/>
                <w:color w:val="000000"/>
                <w:sz w:val="19"/>
                <w:szCs w:val="19"/>
              </w:rPr>
              <w:t xml:space="preserve">Announcement &amp; Delivery (attendance + reaction survey)</w:t>
            </w:r>
          </w:p>
        </w:tc>
        <w:tc>
          <w:tcPr>
            <w:tcW w:type="dxa" w:w="6800"/>
            <w:tcMar>
              <w:top w:type="dxa" w:w="60"/>
              <w:left w:type="dxa" w:w="100"/>
              <w:bottom w:type="dxa" w:w="60"/>
              <w:right w:type="dxa" w:w="100"/>
            </w:tcMar>
          </w:tcPr>
          <w:p>
            <w:pPr>
              <w:spacing w:after="0"/>
            </w:pPr>
            <w:r>
              <w:rPr>
                <w:b w:val="false"/>
                <w:bCs w:val="false"/>
                <w:color w:val="000000"/>
                <w:sz w:val="19"/>
                <w:szCs w:val="19"/>
              </w:rPr>
              <w:t xml:space="preserve">Merged; attendance/survey captured via template import</w:t>
            </w:r>
          </w:p>
        </w:tc>
      </w:tr>
      <w:tr>
        <w:tc>
          <w:tcPr>
            <w:tcW w:type="dxa" w:w="500"/>
            <w:shd w:fill="DCE6F1" w:val="clear"/>
            <w:tcMar>
              <w:top w:type="dxa" w:w="60"/>
              <w:left w:type="dxa" w:w="100"/>
              <w:bottom w:type="dxa" w:w="60"/>
              <w:right w:type="dxa" w:w="100"/>
            </w:tcMar>
          </w:tcPr>
          <w:p>
            <w:pPr>
              <w:spacing w:after="0"/>
            </w:pPr>
            <w:r>
              <w:rPr>
                <w:b w:val="false"/>
                <w:bCs w:val="false"/>
                <w:color w:val="000000"/>
                <w:sz w:val="19"/>
                <w:szCs w:val="19"/>
              </w:rPr>
              <w:t xml:space="preserve">8</w:t>
            </w:r>
          </w:p>
        </w:tc>
        <w:tc>
          <w:tcPr>
            <w:tcW w:type="dxa" w:w="3800"/>
            <w:shd w:fill="DCE6F1" w:val="clear"/>
            <w:tcMar>
              <w:top w:type="dxa" w:w="60"/>
              <w:left w:type="dxa" w:w="100"/>
              <w:bottom w:type="dxa" w:w="60"/>
              <w:right w:type="dxa" w:w="100"/>
            </w:tcMar>
          </w:tcPr>
          <w:p>
            <w:pPr>
              <w:spacing w:after="0"/>
            </w:pPr>
            <w:r>
              <w:rPr>
                <w:b w:val="false"/>
                <w:bCs w:val="false"/>
                <w:color w:val="000000"/>
                <w:sz w:val="19"/>
                <w:szCs w:val="19"/>
              </w:rPr>
              <w:t xml:space="preserve">Evaluation (Level 1–4)</w:t>
            </w:r>
          </w:p>
        </w:tc>
        <w:tc>
          <w:tcPr>
            <w:tcW w:type="dxa" w:w="6800"/>
            <w:shd w:fill="DCE6F1" w:val="clear"/>
            <w:tcMar>
              <w:top w:type="dxa" w:w="60"/>
              <w:left w:type="dxa" w:w="100"/>
              <w:bottom w:type="dxa" w:w="60"/>
              <w:right w:type="dxa" w:w="100"/>
            </w:tcMar>
          </w:tcPr>
          <w:p>
            <w:pPr>
              <w:spacing w:after="0"/>
            </w:pPr>
            <w:r>
              <w:rPr>
                <w:b w:val="false"/>
                <w:bCs w:val="false"/>
                <w:color w:val="000000"/>
                <w:sz w:val="19"/>
                <w:szCs w:val="19"/>
              </w:rPr>
              <w:t xml:space="preserve">Same models; L1/L2 scores via import, L3 manager entry, L4 KPI tagging unchanged</w:t>
            </w:r>
          </w:p>
        </w:tc>
      </w:tr>
      <w:tr>
        <w:tc>
          <w:tcPr>
            <w:tcW w:type="dxa" w:w="500"/>
            <w:tcMar>
              <w:top w:type="dxa" w:w="60"/>
              <w:left w:type="dxa" w:w="100"/>
              <w:bottom w:type="dxa" w:w="60"/>
              <w:right w:type="dxa" w:w="100"/>
            </w:tcMar>
          </w:tcPr>
          <w:p>
            <w:pPr>
              <w:spacing w:after="0"/>
            </w:pPr>
            <w:r>
              <w:rPr>
                <w:b w:val="false"/>
                <w:bCs w:val="false"/>
                <w:color w:val="000000"/>
                <w:sz w:val="19"/>
                <w:szCs w:val="19"/>
              </w:rPr>
              <w:t xml:space="preserve">9</w:t>
            </w:r>
          </w:p>
        </w:tc>
        <w:tc>
          <w:tcPr>
            <w:tcW w:type="dxa" w:w="3800"/>
            <w:tcMar>
              <w:top w:type="dxa" w:w="60"/>
              <w:left w:type="dxa" w:w="100"/>
              <w:bottom w:type="dxa" w:w="60"/>
              <w:right w:type="dxa" w:w="100"/>
            </w:tcMar>
          </w:tcPr>
          <w:p>
            <w:pPr>
              <w:spacing w:after="0"/>
            </w:pPr>
            <w:r>
              <w:rPr>
                <w:b w:val="false"/>
                <w:bCs w:val="false"/>
                <w:color w:val="000000"/>
                <w:sz w:val="19"/>
                <w:szCs w:val="19"/>
              </w:rPr>
              <w:t xml:space="preserve">Completion, Certification &amp; Financial Closure</w:t>
            </w:r>
          </w:p>
        </w:tc>
        <w:tc>
          <w:tcPr>
            <w:tcW w:type="dxa" w:w="6800"/>
            <w:tcMar>
              <w:top w:type="dxa" w:w="60"/>
              <w:left w:type="dxa" w:w="100"/>
              <w:bottom w:type="dxa" w:w="60"/>
              <w:right w:type="dxa" w:w="100"/>
            </w:tcMar>
          </w:tcPr>
          <w:p>
            <w:pPr>
              <w:spacing w:after="0"/>
            </w:pPr>
            <w:r>
              <w:rPr>
                <w:b w:val="false"/>
                <w:bCs w:val="false"/>
                <w:color w:val="000000"/>
                <w:sz w:val="19"/>
                <w:szCs w:val="19"/>
              </w:rPr>
              <w:t xml:space="preserve">Merged; vendor invoice recorded manually, no vendor upload</w:t>
            </w:r>
          </w:p>
        </w:tc>
      </w:tr>
    </w:tbl>
    <w:p>
      <w:pPr>
        <w:pStyle w:val="Heading1"/>
        <w:spacing w:after="160" w:before="320"/>
      </w:pPr>
      <w:r>
        <w:t xml:space="preserve">7. Data Model Impact</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5700"/>
      </w:tblGrid>
      <w:tr>
        <w:trPr>
          <w:tblHeader/>
        </w:trPr>
        <w:tc>
          <w:tcPr>
            <w:tcW w:type="dxa" w:w="3600"/>
            <w:shd w:fill="1F3864" w:val="clear"/>
            <w:tcMar>
              <w:top w:type="dxa" w:w="60"/>
              <w:left w:type="dxa" w:w="100"/>
              <w:bottom w:type="dxa" w:w="60"/>
              <w:right w:type="dxa" w:w="100"/>
            </w:tcMar>
          </w:tcPr>
          <w:p>
            <w:pPr>
              <w:spacing w:after="0"/>
            </w:pPr>
            <w:r>
              <w:rPr>
                <w:b/>
                <w:bCs/>
                <w:color w:val="FFFFFF"/>
                <w:sz w:val="19"/>
                <w:szCs w:val="19"/>
              </w:rPr>
              <w:t xml:space="preserve">Model(s)</w:t>
            </w:r>
          </w:p>
        </w:tc>
        <w:tc>
          <w:tcPr>
            <w:tcW w:type="dxa" w:w="1800"/>
            <w:shd w:fill="1F3864" w:val="clear"/>
            <w:tcMar>
              <w:top w:type="dxa" w:w="60"/>
              <w:left w:type="dxa" w:w="100"/>
              <w:bottom w:type="dxa" w:w="60"/>
              <w:right w:type="dxa" w:w="100"/>
            </w:tcMar>
          </w:tcPr>
          <w:p>
            <w:pPr>
              <w:spacing w:after="0"/>
            </w:pPr>
            <w:r>
              <w:rPr>
                <w:b/>
                <w:bCs/>
                <w:color w:val="FFFFFF"/>
                <w:sz w:val="19"/>
                <w:szCs w:val="19"/>
              </w:rPr>
              <w:t xml:space="preserve">Action</w:t>
            </w:r>
          </w:p>
        </w:tc>
        <w:tc>
          <w:tcPr>
            <w:tcW w:type="dxa" w:w="5700"/>
            <w:shd w:fill="1F3864" w:val="clear"/>
            <w:tcMar>
              <w:top w:type="dxa" w:w="60"/>
              <w:left w:type="dxa" w:w="100"/>
              <w:bottom w:type="dxa" w:w="60"/>
              <w:right w:type="dxa" w:w="100"/>
            </w:tcMar>
          </w:tcPr>
          <w:p>
            <w:pPr>
              <w:spacing w:after="0"/>
            </w:pPr>
            <w:r>
              <w:rPr>
                <w:b/>
                <w:bCs/>
                <w:color w:val="FFFFFF"/>
                <w:sz w:val="19"/>
                <w:szCs w:val="19"/>
              </w:rPr>
              <w:t xml:space="preserve">Detail</w:t>
            </w:r>
          </w:p>
        </w:tc>
      </w:tr>
      <w:tr>
        <w:tc>
          <w:tcPr>
            <w:tcW w:type="dxa" w:w="3600"/>
            <w:tcMar>
              <w:top w:type="dxa" w:w="60"/>
              <w:left w:type="dxa" w:w="100"/>
              <w:bottom w:type="dxa" w:w="60"/>
              <w:right w:type="dxa" w:w="100"/>
            </w:tcMar>
          </w:tcPr>
          <w:p>
            <w:pPr>
              <w:spacing w:after="0"/>
            </w:pPr>
            <w:r>
              <w:rPr>
                <w:b w:val="false"/>
                <w:bCs w:val="false"/>
                <w:color w:val="000000"/>
                <w:sz w:val="19"/>
                <w:szCs w:val="19"/>
              </w:rPr>
              <w:t xml:space="preserve">eds.venue.requirement, eds.rfp, eds.rfp.criteria.line,
eds.vendor.proposal, eds.evaluation.criteria,
eds.vendor.evaluation(.line)</w:t>
            </w:r>
          </w:p>
        </w:tc>
        <w:tc>
          <w:tcPr>
            <w:tcW w:type="dxa" w:w="1800"/>
            <w:tcMar>
              <w:top w:type="dxa" w:w="60"/>
              <w:left w:type="dxa" w:w="100"/>
              <w:bottom w:type="dxa" w:w="60"/>
              <w:right w:type="dxa" w:w="100"/>
            </w:tcMar>
          </w:tcPr>
          <w:p>
            <w:pPr>
              <w:spacing w:after="0"/>
            </w:pPr>
            <w:r>
              <w:rPr>
                <w:b w:val="false"/>
                <w:bCs w:val="false"/>
                <w:color w:val="000000"/>
                <w:sz w:val="19"/>
                <w:szCs w:val="19"/>
              </w:rPr>
              <w:t xml:space="preserve">Deprecate</w:t>
            </w:r>
          </w:p>
        </w:tc>
        <w:tc>
          <w:tcPr>
            <w:tcW w:type="dxa" w:w="5700"/>
            <w:tcMar>
              <w:top w:type="dxa" w:w="60"/>
              <w:left w:type="dxa" w:w="100"/>
              <w:bottom w:type="dxa" w:w="60"/>
              <w:right w:type="dxa" w:w="100"/>
            </w:tcMar>
          </w:tcPr>
          <w:p>
            <w:pPr>
              <w:spacing w:after="0"/>
            </w:pPr>
            <w:r>
              <w:rPr>
                <w:b w:val="false"/>
                <w:bCs w:val="false"/>
                <w:color w:val="000000"/>
                <w:sz w:val="19"/>
                <w:szCs w:val="19"/>
              </w:rPr>
              <w:t xml:space="preserve">Hide menus/views; freeze new-record creation; retain tables read-only for any historical data already entered</w:t>
            </w:r>
          </w:p>
        </w:tc>
      </w:tr>
      <w:tr>
        <w:tc>
          <w:tcPr>
            <w:tcW w:type="dxa" w:w="3600"/>
            <w:shd w:fill="DCE6F1" w:val="clear"/>
            <w:tcMar>
              <w:top w:type="dxa" w:w="60"/>
              <w:left w:type="dxa" w:w="100"/>
              <w:bottom w:type="dxa" w:w="60"/>
              <w:right w:type="dxa" w:w="100"/>
            </w:tcMar>
          </w:tcPr>
          <w:p>
            <w:pPr>
              <w:spacing w:after="0"/>
            </w:pPr>
            <w:r>
              <w:rPr>
                <w:b w:val="false"/>
                <w:bCs w:val="false"/>
                <w:color w:val="000000"/>
                <w:sz w:val="19"/>
                <w:szCs w:val="19"/>
              </w:rPr>
              <w:t xml:space="preserve">eds.training.contract(.version)</w:t>
            </w:r>
          </w:p>
        </w:tc>
        <w:tc>
          <w:tcPr>
            <w:tcW w:type="dxa" w:w="1800"/>
            <w:shd w:fill="DCE6F1" w:val="clear"/>
            <w:tcMar>
              <w:top w:type="dxa" w:w="60"/>
              <w:left w:type="dxa" w:w="100"/>
              <w:bottom w:type="dxa" w:w="60"/>
              <w:right w:type="dxa" w:w="100"/>
            </w:tcMar>
          </w:tcPr>
          <w:p>
            <w:pPr>
              <w:spacing w:after="0"/>
            </w:pPr>
            <w:r>
              <w:rPr>
                <w:b w:val="false"/>
                <w:bCs w:val="false"/>
                <w:color w:val="000000"/>
                <w:sz w:val="19"/>
                <w:szCs w:val="19"/>
              </w:rPr>
              <w:t xml:space="preserve">Simplify</w:t>
            </w:r>
          </w:p>
        </w:tc>
        <w:tc>
          <w:tcPr>
            <w:tcW w:type="dxa" w:w="5700"/>
            <w:shd w:fill="DCE6F1" w:val="clear"/>
            <w:tcMar>
              <w:top w:type="dxa" w:w="60"/>
              <w:left w:type="dxa" w:w="100"/>
              <w:bottom w:type="dxa" w:w="60"/>
              <w:right w:type="dxa" w:w="100"/>
            </w:tcMar>
          </w:tcPr>
          <w:p>
            <w:pPr>
              <w:spacing w:after="0"/>
            </w:pPr>
            <w:r>
              <w:rPr>
                <w:b w:val="false"/>
                <w:bCs w:val="false"/>
                <w:color w:val="000000"/>
                <w:sz w:val="19"/>
                <w:szCs w:val="19"/>
              </w:rPr>
              <w:t xml:space="preserve">Drop mandatory RFP linkage; keep contract_ref, provider_id, course_id, amount, start/end date, signed-copy attachment</w:t>
            </w:r>
          </w:p>
        </w:tc>
      </w:tr>
      <w:tr>
        <w:tc>
          <w:tcPr>
            <w:tcW w:type="dxa" w:w="3600"/>
            <w:tcMar>
              <w:top w:type="dxa" w:w="60"/>
              <w:left w:type="dxa" w:w="100"/>
              <w:bottom w:type="dxa" w:w="60"/>
              <w:right w:type="dxa" w:w="100"/>
            </w:tcMar>
          </w:tcPr>
          <w:p>
            <w:pPr>
              <w:spacing w:after="0"/>
            </w:pPr>
            <w:r>
              <w:rPr>
                <w:b w:val="false"/>
                <w:bCs w:val="false"/>
                <w:color w:val="000000"/>
                <w:sz w:val="19"/>
                <w:szCs w:val="19"/>
              </w:rPr>
              <w:t xml:space="preserve">eds.assessment</w:t>
            </w:r>
          </w:p>
        </w:tc>
        <w:tc>
          <w:tcPr>
            <w:tcW w:type="dxa" w:w="1800"/>
            <w:tcMar>
              <w:top w:type="dxa" w:w="60"/>
              <w:left w:type="dxa" w:w="100"/>
              <w:bottom w:type="dxa" w:w="60"/>
              <w:right w:type="dxa" w:w="100"/>
            </w:tcMar>
          </w:tcPr>
          <w:p>
            <w:pPr>
              <w:spacing w:after="0"/>
            </w:pPr>
            <w:r>
              <w:rPr>
                <w:b w:val="false"/>
                <w:bCs w:val="false"/>
                <w:color w:val="000000"/>
                <w:sz w:val="19"/>
                <w:szCs w:val="19"/>
              </w:rPr>
              <w:t xml:space="preserve">Extend</w:t>
            </w:r>
          </w:p>
        </w:tc>
        <w:tc>
          <w:tcPr>
            <w:tcW w:type="dxa" w:w="5700"/>
            <w:tcMar>
              <w:top w:type="dxa" w:w="60"/>
              <w:left w:type="dxa" w:w="100"/>
              <w:bottom w:type="dxa" w:w="60"/>
              <w:right w:type="dxa" w:w="100"/>
            </w:tcMar>
          </w:tcPr>
          <w:p>
            <w:pPr>
              <w:spacing w:after="0"/>
            </w:pPr>
            <w:r>
              <w:rPr>
                <w:b w:val="false"/>
                <w:bCs w:val="false"/>
                <w:color w:val="000000"/>
                <w:sz w:val="19"/>
                <w:szCs w:val="19"/>
              </w:rPr>
              <w:t xml:space="preserve">Keep model as-is; add eds.assessment.import (TransientModel, same pattern as eds.pms.gap.import)</w:t>
            </w:r>
          </w:p>
        </w:tc>
      </w:tr>
      <w:tr>
        <w:tc>
          <w:tcPr>
            <w:tcW w:type="dxa" w:w="3600"/>
            <w:shd w:fill="DCE6F1" w:val="clear"/>
            <w:tcMar>
              <w:top w:type="dxa" w:w="60"/>
              <w:left w:type="dxa" w:w="100"/>
              <w:bottom w:type="dxa" w:w="60"/>
              <w:right w:type="dxa" w:w="100"/>
            </w:tcMar>
          </w:tcPr>
          <w:p>
            <w:pPr>
              <w:spacing w:after="0"/>
            </w:pPr>
            <w:r>
              <w:rPr>
                <w:b w:val="false"/>
                <w:bCs w:val="false"/>
                <w:color w:val="000000"/>
                <w:sz w:val="19"/>
                <w:szCs w:val="19"/>
              </w:rPr>
              <w:t xml:space="preserve">eds.session.attendance</w:t>
            </w:r>
          </w:p>
        </w:tc>
        <w:tc>
          <w:tcPr>
            <w:tcW w:type="dxa" w:w="1800"/>
            <w:shd w:fill="DCE6F1" w:val="clear"/>
            <w:tcMar>
              <w:top w:type="dxa" w:w="60"/>
              <w:left w:type="dxa" w:w="100"/>
              <w:bottom w:type="dxa" w:w="60"/>
              <w:right w:type="dxa" w:w="100"/>
            </w:tcMar>
          </w:tcPr>
          <w:p>
            <w:pPr>
              <w:spacing w:after="0"/>
            </w:pPr>
            <w:r>
              <w:rPr>
                <w:b w:val="false"/>
                <w:bCs w:val="false"/>
                <w:color w:val="000000"/>
                <w:sz w:val="19"/>
                <w:szCs w:val="19"/>
              </w:rPr>
              <w:t xml:space="preserve">Extend</w:t>
            </w:r>
          </w:p>
        </w:tc>
        <w:tc>
          <w:tcPr>
            <w:tcW w:type="dxa" w:w="5700"/>
            <w:shd w:fill="DCE6F1" w:val="clear"/>
            <w:tcMar>
              <w:top w:type="dxa" w:w="60"/>
              <w:left w:type="dxa" w:w="100"/>
              <w:bottom w:type="dxa" w:w="60"/>
              <w:right w:type="dxa" w:w="100"/>
            </w:tcMar>
          </w:tcPr>
          <w:p>
            <w:pPr>
              <w:spacing w:after="0"/>
            </w:pPr>
            <w:r>
              <w:rPr>
                <w:b w:val="false"/>
                <w:bCs w:val="false"/>
                <w:color w:val="000000"/>
                <w:sz w:val="19"/>
                <w:szCs w:val="19"/>
              </w:rPr>
              <w:t xml:space="preserve">Add eds.attendance.import wizard</w:t>
            </w:r>
          </w:p>
        </w:tc>
      </w:tr>
      <w:tr>
        <w:tc>
          <w:tcPr>
            <w:tcW w:type="dxa" w:w="3600"/>
            <w:tcMar>
              <w:top w:type="dxa" w:w="60"/>
              <w:left w:type="dxa" w:w="100"/>
              <w:bottom w:type="dxa" w:w="60"/>
              <w:right w:type="dxa" w:w="100"/>
            </w:tcMar>
          </w:tcPr>
          <w:p>
            <w:pPr>
              <w:spacing w:after="0"/>
            </w:pPr>
            <w:r>
              <w:rPr>
                <w:b w:val="false"/>
                <w:bCs w:val="false"/>
                <w:color w:val="000000"/>
                <w:sz w:val="19"/>
                <w:szCs w:val="19"/>
              </w:rPr>
              <w:t xml:space="preserve">eds.evaluation.level1(.line)</w:t>
            </w:r>
          </w:p>
        </w:tc>
        <w:tc>
          <w:tcPr>
            <w:tcW w:type="dxa" w:w="1800"/>
            <w:tcMar>
              <w:top w:type="dxa" w:w="60"/>
              <w:left w:type="dxa" w:w="100"/>
              <w:bottom w:type="dxa" w:w="60"/>
              <w:right w:type="dxa" w:w="100"/>
            </w:tcMar>
          </w:tcPr>
          <w:p>
            <w:pPr>
              <w:spacing w:after="0"/>
            </w:pPr>
            <w:r>
              <w:rPr>
                <w:b w:val="false"/>
                <w:bCs w:val="false"/>
                <w:color w:val="000000"/>
                <w:sz w:val="19"/>
                <w:szCs w:val="19"/>
              </w:rPr>
              <w:t xml:space="preserve">Extend</w:t>
            </w:r>
          </w:p>
        </w:tc>
        <w:tc>
          <w:tcPr>
            <w:tcW w:type="dxa" w:w="5700"/>
            <w:tcMar>
              <w:top w:type="dxa" w:w="60"/>
              <w:left w:type="dxa" w:w="100"/>
              <w:bottom w:type="dxa" w:w="60"/>
              <w:right w:type="dxa" w:w="100"/>
            </w:tcMar>
          </w:tcPr>
          <w:p>
            <w:pPr>
              <w:spacing w:after="0"/>
            </w:pPr>
            <w:r>
              <w:rPr>
                <w:b w:val="false"/>
                <w:bCs w:val="false"/>
                <w:color w:val="000000"/>
                <w:sz w:val="19"/>
                <w:szCs w:val="19"/>
              </w:rPr>
              <w:t xml:space="preserve">Add eds.level1.import wizard (or keep manual form entry if L&amp;D volume is low)</w:t>
            </w:r>
          </w:p>
        </w:tc>
      </w:tr>
      <w:tr>
        <w:tc>
          <w:tcPr>
            <w:tcW w:type="dxa" w:w="3600"/>
            <w:shd w:fill="DCE6F1" w:val="clear"/>
            <w:tcMar>
              <w:top w:type="dxa" w:w="60"/>
              <w:left w:type="dxa" w:w="100"/>
              <w:bottom w:type="dxa" w:w="60"/>
              <w:right w:type="dxa" w:w="100"/>
            </w:tcMar>
          </w:tcPr>
          <w:p>
            <w:pPr>
              <w:spacing w:after="0"/>
            </w:pPr>
            <w:r>
              <w:rPr>
                <w:b w:val="false"/>
                <w:bCs w:val="false"/>
                <w:color w:val="000000"/>
                <w:sz w:val="19"/>
                <w:szCs w:val="19"/>
              </w:rPr>
              <w:t xml:space="preserve">eds_config.py: eds_rfp_min_providers,
eds_technical_min_threshold,
eds_technical_financial_blend</w:t>
            </w:r>
          </w:p>
        </w:tc>
        <w:tc>
          <w:tcPr>
            <w:tcW w:type="dxa" w:w="1800"/>
            <w:shd w:fill="DCE6F1" w:val="clear"/>
            <w:tcMar>
              <w:top w:type="dxa" w:w="60"/>
              <w:left w:type="dxa" w:w="100"/>
              <w:bottom w:type="dxa" w:w="60"/>
              <w:right w:type="dxa" w:w="100"/>
            </w:tcMar>
          </w:tcPr>
          <w:p>
            <w:pPr>
              <w:spacing w:after="0"/>
            </w:pPr>
            <w:r>
              <w:rPr>
                <w:b w:val="false"/>
                <w:bCs w:val="false"/>
                <w:color w:val="000000"/>
                <w:sz w:val="19"/>
                <w:szCs w:val="19"/>
              </w:rPr>
              <w:t xml:space="preserve">Remove</w:t>
            </w:r>
          </w:p>
        </w:tc>
        <w:tc>
          <w:tcPr>
            <w:tcW w:type="dxa" w:w="5700"/>
            <w:shd w:fill="DCE6F1" w:val="clear"/>
            <w:tcMar>
              <w:top w:type="dxa" w:w="60"/>
              <w:left w:type="dxa" w:w="100"/>
              <w:bottom w:type="dxa" w:w="60"/>
              <w:right w:type="dxa" w:w="100"/>
            </w:tcMar>
          </w:tcPr>
          <w:p>
            <w:pPr>
              <w:spacing w:after="0"/>
            </w:pPr>
            <w:r>
              <w:rPr>
                <w:b w:val="false"/>
                <w:bCs w:val="false"/>
                <w:color w:val="000000"/>
                <w:sz w:val="19"/>
                <w:szCs w:val="19"/>
              </w:rPr>
              <w:t xml:space="preserve">No longer meaningful once bidding is dropped from EDS scope</w:t>
            </w:r>
          </w:p>
        </w:tc>
      </w:tr>
      <w:tr>
        <w:tc>
          <w:tcPr>
            <w:tcW w:type="dxa" w:w="3600"/>
            <w:tcMar>
              <w:top w:type="dxa" w:w="60"/>
              <w:left w:type="dxa" w:w="100"/>
              <w:bottom w:type="dxa" w:w="60"/>
              <w:right w:type="dxa" w:w="100"/>
            </w:tcMar>
          </w:tcPr>
          <w:p>
            <w:pPr>
              <w:spacing w:after="0"/>
            </w:pPr>
            <w:r>
              <w:rPr>
                <w:b w:val="false"/>
                <w:bCs w:val="false"/>
                <w:color w:val="000000"/>
                <w:sz w:val="19"/>
                <w:szCs w:val="19"/>
              </w:rPr>
              <w:t xml:space="preserve">views/eds_procurement_views.xml, eds_menus.xml</w:t>
            </w:r>
          </w:p>
        </w:tc>
        <w:tc>
          <w:tcPr>
            <w:tcW w:type="dxa" w:w="1800"/>
            <w:tcMar>
              <w:top w:type="dxa" w:w="60"/>
              <w:left w:type="dxa" w:w="100"/>
              <w:bottom w:type="dxa" w:w="60"/>
              <w:right w:type="dxa" w:w="100"/>
            </w:tcMar>
          </w:tcPr>
          <w:p>
            <w:pPr>
              <w:spacing w:after="0"/>
            </w:pPr>
            <w:r>
              <w:rPr>
                <w:b w:val="false"/>
                <w:bCs w:val="false"/>
                <w:color w:val="000000"/>
                <w:sz w:val="19"/>
                <w:szCs w:val="19"/>
              </w:rPr>
              <w:t xml:space="preserve">Retire RFP/bid menus</w:t>
            </w:r>
          </w:p>
        </w:tc>
        <w:tc>
          <w:tcPr>
            <w:tcW w:type="dxa" w:w="5700"/>
            <w:tcMar>
              <w:top w:type="dxa" w:w="60"/>
              <w:left w:type="dxa" w:w="100"/>
              <w:bottom w:type="dxa" w:w="60"/>
              <w:right w:type="dxa" w:w="100"/>
            </w:tcMar>
          </w:tcPr>
          <w:p>
            <w:pPr>
              <w:spacing w:after="0"/>
            </w:pPr>
            <w:r>
              <w:rPr>
                <w:b w:val="false"/>
                <w:bCs w:val="false"/>
                <w:color w:val="000000"/>
                <w:sz w:val="19"/>
                <w:szCs w:val="19"/>
              </w:rPr>
              <w:t xml:space="preserve">Keep Provider Register and simplified Contract menu only</w:t>
            </w:r>
          </w:p>
        </w:tc>
      </w:tr>
    </w:tbl>
    <w:p>
      <w:pPr>
        <w:pStyle w:val="Heading1"/>
        <w:spacing w:after="160" w:before="320"/>
      </w:pPr>
      <w:r>
        <w:t xml:space="preserve">8. Integration Points – Competency, KMS, LMS, PMS, Payroll/Finance</w:t>
      </w:r>
    </w:p>
    <w:p>
      <w:pPr>
        <w:pStyle w:val="Heading2"/>
        <w:spacing w:after="120" w:before="240"/>
      </w:pPr>
      <w:r>
        <w:t xml:space="preserve">8.1 Competency Management (built – competency_management)</w:t>
      </w:r>
    </w:p>
    <w:p>
      <w:pPr>
        <w:spacing w:after="160" w:line="276"/>
      </w:pPr>
      <w:r>
        <w:t xml:space="preserve">Already fully wired and unaffected by this revision: eds.tna.entry links to competency.competency for gap-driven TNA, and eds.evaluation.level3.line links to competency.competency for behavioural observation scoring. This is the mechanism that ties every classroom outcome back to the Bank’s competency framework and role/grade matrices – nothing here needs to change.</w:t>
      </w:r>
    </w:p>
    <w:p>
      <w:pPr>
        <w:pStyle w:val="Heading2"/>
        <w:spacing w:after="120" w:before="240"/>
      </w:pPr>
      <w:r>
        <w:t xml:space="preserve">8.2 Knowledge Management System (KMS – BRD Part 3 §7, not yet built)</w:t>
      </w:r>
    </w:p>
    <w:p>
      <w:pPr>
        <w:spacing w:after="160" w:line="276"/>
      </w:pPr>
      <w:r>
        <w:t xml:space="preserve">The KMS is defined as the governed Document Repository (policies, SOPs, version control, watermarking, download audit) and the Digital Library (browsable reference material). Recommendation: EDS’s training-material model (eds.material) should keep only a lightweight reference/attachment for session use, and defer authoritative document governance – version control, approval workflow, watermarked/audited download – to the KMS once it exists, rather than re-implementing document governance inside EDS.</w:t>
      </w:r>
    </w:p>
    <w:p>
      <w:pPr>
        <w:pStyle w:val="Heading2"/>
        <w:spacing w:after="120" w:before="240"/>
      </w:pPr>
      <w:r>
        <w:t xml:space="preserve">8.3 Learning Management System (LMS – BRD Part 3 §8, not yet built)</w:t>
      </w:r>
    </w:p>
    <w:p>
      <w:pPr>
        <w:spacing w:after="160" w:line="276"/>
      </w:pPr>
      <w:r>
        <w:t xml:space="preserve">The LMS specification (FR-LMS-012 to FR-LMS-017) already defines the self-service, timed, randomised, auto-graded online assessment engine, and BRD §8.3 mandates “Internal Hosting Only” for all LMS video/assessment content – it will run on the same private bank network. This confirms the scope decision above: EDS should not build its own online exam UI for classroom trainees. eds.lms.routing remains the thin internal stub it already is (course/session pointer + sync status); real online assessment and self-paced e-learning content belongs to the LMS, and blended-mode sessions route to it, not the other way around.</w:t>
      </w:r>
    </w:p>
    <w:p>
      <w:pPr>
        <w:pStyle w:val="Heading2"/>
        <w:spacing w:after="120" w:before="240"/>
      </w:pPr>
      <w:r>
        <w:t xml:space="preserve">8.4 PMS and Payroll/Finance</w:t>
      </w:r>
    </w:p>
    <w:p>
      <w:pPr>
        <w:spacing w:after="160" w:line="276"/>
      </w:pPr>
      <w:r>
        <w:t xml:space="preserve">eds.pms.gap.import (inbound competency-gap import from PMS) and eds.payroll.payload (outbound cost-recovery payload) are both already internal, file/DB-level integrations within the Bank’s own ERP – no external network dependency, no change required.</w:t>
      </w:r>
    </w:p>
    <w:p>
      <w:pPr>
        <w:pStyle w:val="Heading1"/>
        <w:spacing w:after="160" w:before="320"/>
      </w:pPr>
      <w:r>
        <w:t xml:space="preserve">9. Security, Audit &amp; Access Control</w:t>
      </w:r>
    </w:p>
    <w:p>
      <w:pPr>
        <w:pStyle w:val="ListParagraph"/>
        <w:numPr>
          <w:ilvl w:val="0"/>
          <w:numId w:val="2"/>
        </w:numPr>
        <w:spacing w:after="80" w:line="276"/>
      </w:pPr>
      <w:r>
        <w:t xml:space="preserve">Role-based access (security/eds_security.xml) and the audit_trail integration on attendance and assessment records are unaffected by this revision.</w:t>
      </w:r>
    </w:p>
    <w:p>
      <w:pPr>
        <w:pStyle w:val="ListParagraph"/>
        <w:numPr>
          <w:ilvl w:val="0"/>
          <w:numId w:val="2"/>
        </w:numPr>
        <w:spacing w:after="80" w:line="276"/>
      </w:pPr>
      <w:r>
        <w:t xml:space="preserve">Removing the vendor-bidding and direct-exam-entry surface area reduces the number of record types and states that need access-control review, simplifying UAT.</w:t>
      </w:r>
    </w:p>
    <w:p>
      <w:pPr>
        <w:pStyle w:val="ListParagraph"/>
        <w:numPr>
          <w:ilvl w:val="0"/>
          <w:numId w:val="2"/>
        </w:numPr>
        <w:spacing w:after="80" w:line="276"/>
      </w:pPr>
      <w:r>
        <w:t xml:space="preserve">Import wizards should be restricted to the L&amp;D Officer / L&amp;D Admin security group, consistent with the existing eds_security.xml groups.</w:t>
      </w:r>
    </w:p>
    <w:p>
      <w:pPr>
        <w:pStyle w:val="Heading1"/>
        <w:spacing w:after="160" w:before="320"/>
      </w:pPr>
      <w:r>
        <w:t xml:space="preserve">10. Implementation Phases</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6500"/>
      </w:tblGrid>
      <w:tr>
        <w:trPr>
          <w:tblHeader/>
        </w:trPr>
        <w:tc>
          <w:tcPr>
            <w:tcW w:type="dxa" w:w="3000"/>
            <w:shd w:fill="1F3864" w:val="clear"/>
            <w:tcMar>
              <w:top w:type="dxa" w:w="60"/>
              <w:left w:type="dxa" w:w="100"/>
              <w:bottom w:type="dxa" w:w="60"/>
              <w:right w:type="dxa" w:w="100"/>
            </w:tcMar>
          </w:tcPr>
          <w:p>
            <w:pPr>
              <w:spacing w:after="0"/>
            </w:pPr>
            <w:r>
              <w:rPr>
                <w:b/>
                <w:bCs/>
                <w:color w:val="FFFFFF"/>
                <w:sz w:val="19"/>
                <w:szCs w:val="19"/>
              </w:rPr>
              <w:t xml:space="preserve">Phase</w:t>
            </w:r>
          </w:p>
        </w:tc>
        <w:tc>
          <w:tcPr>
            <w:tcW w:type="dxa" w:w="1600"/>
            <w:shd w:fill="1F3864" w:val="clear"/>
            <w:tcMar>
              <w:top w:type="dxa" w:w="60"/>
              <w:left w:type="dxa" w:w="100"/>
              <w:bottom w:type="dxa" w:w="60"/>
              <w:right w:type="dxa" w:w="100"/>
            </w:tcMar>
          </w:tcPr>
          <w:p>
            <w:pPr>
              <w:spacing w:after="0"/>
            </w:pPr>
            <w:r>
              <w:rPr>
                <w:b/>
                <w:bCs/>
                <w:color w:val="FFFFFF"/>
                <w:sz w:val="19"/>
                <w:szCs w:val="19"/>
              </w:rPr>
              <w:t xml:space="preserve">Duration</w:t>
            </w:r>
          </w:p>
        </w:tc>
        <w:tc>
          <w:tcPr>
            <w:tcW w:type="dxa" w:w="6500"/>
            <w:shd w:fill="1F3864" w:val="clear"/>
            <w:tcMar>
              <w:top w:type="dxa" w:w="60"/>
              <w:left w:type="dxa" w:w="100"/>
              <w:bottom w:type="dxa" w:w="60"/>
              <w:right w:type="dxa" w:w="100"/>
            </w:tcMar>
          </w:tcPr>
          <w:p>
            <w:pPr>
              <w:spacing w:after="0"/>
            </w:pPr>
            <w:r>
              <w:rPr>
                <w:b/>
                <w:bCs/>
                <w:color w:val="FFFFFF"/>
                <w:sz w:val="19"/>
                <w:szCs w:val="19"/>
              </w:rPr>
              <w:t xml:space="preserve">Key activities</w:t>
            </w:r>
          </w:p>
        </w:tc>
      </w:tr>
      <w:tr>
        <w:tc>
          <w:tcPr>
            <w:tcW w:type="dxa" w:w="3000"/>
            <w:tcMar>
              <w:top w:type="dxa" w:w="60"/>
              <w:left w:type="dxa" w:w="100"/>
              <w:bottom w:type="dxa" w:w="60"/>
              <w:right w:type="dxa" w:w="100"/>
            </w:tcMar>
          </w:tcPr>
          <w:p>
            <w:pPr>
              <w:spacing w:after="0"/>
            </w:pPr>
            <w:r>
              <w:rPr>
                <w:b w:val="false"/>
                <w:bCs w:val="false"/>
                <w:color w:val="000000"/>
                <w:sz w:val="19"/>
                <w:szCs w:val="19"/>
              </w:rPr>
              <w:t xml:space="preserve">Phase 1 – Descoping</w:t>
            </w:r>
          </w:p>
        </w:tc>
        <w:tc>
          <w:tcPr>
            <w:tcW w:type="dxa" w:w="1600"/>
            <w:tcMar>
              <w:top w:type="dxa" w:w="60"/>
              <w:left w:type="dxa" w:w="100"/>
              <w:bottom w:type="dxa" w:w="60"/>
              <w:right w:type="dxa" w:w="100"/>
            </w:tcMar>
          </w:tcPr>
          <w:p>
            <w:pPr>
              <w:spacing w:after="0"/>
            </w:pPr>
            <w:r>
              <w:rPr>
                <w:b w:val="false"/>
                <w:bCs w:val="false"/>
                <w:color w:val="000000"/>
                <w:sz w:val="19"/>
                <w:szCs w:val="19"/>
              </w:rPr>
              <w:t xml:space="preserve">1–2 weeks</w:t>
            </w:r>
          </w:p>
        </w:tc>
        <w:tc>
          <w:tcPr>
            <w:tcW w:type="dxa" w:w="6500"/>
            <w:tcMar>
              <w:top w:type="dxa" w:w="60"/>
              <w:left w:type="dxa" w:w="100"/>
              <w:bottom w:type="dxa" w:w="60"/>
              <w:right w:type="dxa" w:w="100"/>
            </w:tcMar>
          </w:tcPr>
          <w:p>
            <w:pPr>
              <w:spacing w:after="0"/>
            </w:pPr>
            <w:r>
              <w:rPr>
                <w:b w:val="false"/>
                <w:bCs w:val="false"/>
                <w:color w:val="000000"/>
                <w:sz w:val="19"/>
                <w:szCs w:val="19"/>
              </w:rPr>
              <w:t xml:space="preserve">Hide/retire RFP-bidding menus &amp; views; simplify eds.training.contract; remove obsolete config settings; update module description</w:t>
            </w:r>
          </w:p>
        </w:tc>
      </w:tr>
      <w:tr>
        <w:tc>
          <w:tcPr>
            <w:tcW w:type="dxa" w:w="3000"/>
            <w:shd w:fill="DCE6F1" w:val="clear"/>
            <w:tcMar>
              <w:top w:type="dxa" w:w="60"/>
              <w:left w:type="dxa" w:w="100"/>
              <w:bottom w:type="dxa" w:w="60"/>
              <w:right w:type="dxa" w:w="100"/>
            </w:tcMar>
          </w:tcPr>
          <w:p>
            <w:pPr>
              <w:spacing w:after="0"/>
            </w:pPr>
            <w:r>
              <w:rPr>
                <w:b w:val="false"/>
                <w:bCs w:val="false"/>
                <w:color w:val="000000"/>
                <w:sz w:val="19"/>
                <w:szCs w:val="19"/>
              </w:rPr>
              <w:t xml:space="preserve">Phase 2 – Import Tooling</w:t>
            </w:r>
          </w:p>
        </w:tc>
        <w:tc>
          <w:tcPr>
            <w:tcW w:type="dxa" w:w="1600"/>
            <w:shd w:fill="DCE6F1" w:val="clear"/>
            <w:tcMar>
              <w:top w:type="dxa" w:w="60"/>
              <w:left w:type="dxa" w:w="100"/>
              <w:bottom w:type="dxa" w:w="60"/>
              <w:right w:type="dxa" w:w="100"/>
            </w:tcMar>
          </w:tcPr>
          <w:p>
            <w:pPr>
              <w:spacing w:after="0"/>
            </w:pPr>
            <w:r>
              <w:rPr>
                <w:b w:val="false"/>
                <w:bCs w:val="false"/>
                <w:color w:val="000000"/>
                <w:sz w:val="19"/>
                <w:szCs w:val="19"/>
              </w:rPr>
              <w:t xml:space="preserve">2–3 weeks</w:t>
            </w:r>
          </w:p>
        </w:tc>
        <w:tc>
          <w:tcPr>
            <w:tcW w:type="dxa" w:w="6500"/>
            <w:shd w:fill="DCE6F1" w:val="clear"/>
            <w:tcMar>
              <w:top w:type="dxa" w:w="60"/>
              <w:left w:type="dxa" w:w="100"/>
              <w:bottom w:type="dxa" w:w="60"/>
              <w:right w:type="dxa" w:w="100"/>
            </w:tcMar>
          </w:tcPr>
          <w:p>
            <w:pPr>
              <w:spacing w:after="0"/>
            </w:pPr>
            <w:r>
              <w:rPr>
                <w:b w:val="false"/>
                <w:bCs w:val="false"/>
                <w:color w:val="000000"/>
                <w:sz w:val="19"/>
                <w:szCs w:val="19"/>
              </w:rPr>
              <w:t xml:space="preserve">Build eds.attendance.import, eds.assessment.import, eds.level1.import, eds.vendor.contract.import wizards with validation and error reporting</w:t>
            </w:r>
          </w:p>
        </w:tc>
      </w:tr>
      <w:tr>
        <w:tc>
          <w:tcPr>
            <w:tcW w:type="dxa" w:w="3000"/>
            <w:tcMar>
              <w:top w:type="dxa" w:w="60"/>
              <w:left w:type="dxa" w:w="100"/>
              <w:bottom w:type="dxa" w:w="60"/>
              <w:right w:type="dxa" w:w="100"/>
            </w:tcMar>
          </w:tcPr>
          <w:p>
            <w:pPr>
              <w:spacing w:after="0"/>
            </w:pPr>
            <w:r>
              <w:rPr>
                <w:b w:val="false"/>
                <w:bCs w:val="false"/>
                <w:color w:val="000000"/>
                <w:sz w:val="19"/>
                <w:szCs w:val="19"/>
              </w:rPr>
              <w:t xml:space="preserve">Phase 3 – Regression, Tests &amp; Data Cleanup</w:t>
            </w:r>
          </w:p>
        </w:tc>
        <w:tc>
          <w:tcPr>
            <w:tcW w:type="dxa" w:w="1600"/>
            <w:tcMar>
              <w:top w:type="dxa" w:w="60"/>
              <w:left w:type="dxa" w:w="100"/>
              <w:bottom w:type="dxa" w:w="60"/>
              <w:right w:type="dxa" w:w="100"/>
            </w:tcMar>
          </w:tcPr>
          <w:p>
            <w:pPr>
              <w:spacing w:after="0"/>
            </w:pPr>
            <w:r>
              <w:rPr>
                <w:b w:val="false"/>
                <w:bCs w:val="false"/>
                <w:color w:val="000000"/>
                <w:sz w:val="19"/>
                <w:szCs w:val="19"/>
              </w:rPr>
              <w:t xml:space="preserve">1–2 weeks</w:t>
            </w:r>
          </w:p>
        </w:tc>
        <w:tc>
          <w:tcPr>
            <w:tcW w:type="dxa" w:w="6500"/>
            <w:tcMar>
              <w:top w:type="dxa" w:w="60"/>
              <w:left w:type="dxa" w:w="100"/>
              <w:bottom w:type="dxa" w:w="60"/>
              <w:right w:type="dxa" w:w="100"/>
            </w:tcMar>
          </w:tcPr>
          <w:p>
            <w:pPr>
              <w:spacing w:after="0"/>
            </w:pPr>
            <w:r>
              <w:rPr>
                <w:b w:val="false"/>
                <w:bCs w:val="false"/>
                <w:color w:val="000000"/>
                <w:sz w:val="19"/>
                <w:szCs w:val="19"/>
              </w:rPr>
              <w:t xml:space="preserve">Add automated test coverage (none currently exists for this module); archive any historical RFP/bid records before hiding menus</w:t>
            </w:r>
          </w:p>
        </w:tc>
      </w:tr>
      <w:tr>
        <w:tc>
          <w:tcPr>
            <w:tcW w:type="dxa" w:w="3000"/>
            <w:shd w:fill="DCE6F1" w:val="clear"/>
            <w:tcMar>
              <w:top w:type="dxa" w:w="60"/>
              <w:left w:type="dxa" w:w="100"/>
              <w:bottom w:type="dxa" w:w="60"/>
              <w:right w:type="dxa" w:w="100"/>
            </w:tcMar>
          </w:tcPr>
          <w:p>
            <w:pPr>
              <w:spacing w:after="0"/>
            </w:pPr>
            <w:r>
              <w:rPr>
                <w:b w:val="false"/>
                <w:bCs w:val="false"/>
                <w:color w:val="000000"/>
                <w:sz w:val="19"/>
                <w:szCs w:val="19"/>
              </w:rPr>
              <w:t xml:space="preserve">Phase 4 – Branch UAT &amp; Rollout</w:t>
            </w:r>
          </w:p>
        </w:tc>
        <w:tc>
          <w:tcPr>
            <w:tcW w:type="dxa" w:w="1600"/>
            <w:shd w:fill="DCE6F1" w:val="clear"/>
            <w:tcMar>
              <w:top w:type="dxa" w:w="60"/>
              <w:left w:type="dxa" w:w="100"/>
              <w:bottom w:type="dxa" w:w="60"/>
              <w:right w:type="dxa" w:w="100"/>
            </w:tcMar>
          </w:tcPr>
          <w:p>
            <w:pPr>
              <w:spacing w:after="0"/>
            </w:pPr>
            <w:r>
              <w:rPr>
                <w:b w:val="false"/>
                <w:bCs w:val="false"/>
                <w:color w:val="000000"/>
                <w:sz w:val="19"/>
                <w:szCs w:val="19"/>
              </w:rPr>
              <w:t xml:space="preserve">2 weeks</w:t>
            </w:r>
          </w:p>
        </w:tc>
        <w:tc>
          <w:tcPr>
            <w:tcW w:type="dxa" w:w="6500"/>
            <w:shd w:fill="DCE6F1" w:val="clear"/>
            <w:tcMar>
              <w:top w:type="dxa" w:w="60"/>
              <w:left w:type="dxa" w:w="100"/>
              <w:bottom w:type="dxa" w:w="60"/>
              <w:right w:type="dxa" w:w="100"/>
            </w:tcMar>
          </w:tcPr>
          <w:p>
            <w:pPr>
              <w:spacing w:after="0"/>
            </w:pPr>
            <w:r>
              <w:rPr>
                <w:b w:val="false"/>
                <w:bCs w:val="false"/>
                <w:color w:val="000000"/>
                <w:sz w:val="19"/>
                <w:szCs w:val="19"/>
              </w:rPr>
              <w:t xml:space="preserve">Pilot at Head Office plus 2 branches on the bank intranet; train L&amp;D officers on the import templates; phased rollout to all branches</w:t>
            </w:r>
          </w:p>
        </w:tc>
      </w:tr>
    </w:tbl>
    <w:p>
      <w:pPr>
        <w:pStyle w:val="Heading1"/>
        <w:spacing w:after="160" w:before="320"/>
      </w:pPr>
      <w:r>
        <w:t xml:space="preserve">11. Risks &amp; Assumptions</w:t>
      </w:r>
    </w:p>
    <w:p>
      <w:pPr>
        <w:pStyle w:val="Heading3"/>
        <w:spacing w:after="90" w:before="180"/>
      </w:pPr>
      <w:r>
        <w:t xml:space="preserve">Assumptions</w:t>
      </w:r>
    </w:p>
    <w:p>
      <w:pPr>
        <w:pStyle w:val="ListParagraph"/>
        <w:numPr>
          <w:ilvl w:val="0"/>
          <w:numId w:val="2"/>
        </w:numPr>
        <w:spacing w:after="80" w:line="276"/>
      </w:pPr>
      <w:r>
        <w:t xml:space="preserve">The Bank's separate Procurement function handles vendor/venue sourcing and RFP evaluation outside EDS; EDS receives only the awarded outcome.</w:t>
      </w:r>
    </w:p>
    <w:p>
      <w:pPr>
        <w:pStyle w:val="ListParagraph"/>
        <w:numPr>
          <w:ilvl w:val="0"/>
          <w:numId w:val="2"/>
        </w:numPr>
        <w:spacing w:after="80" w:line="276"/>
      </w:pPr>
      <w:r>
        <w:t xml:space="preserve">Classroom exams remain paper-based/proctored in person; self-paced e-learning assessment is the LMS's responsibility once delivered.</w:t>
      </w:r>
    </w:p>
    <w:p>
      <w:pPr>
        <w:pStyle w:val="ListParagraph"/>
        <w:numPr>
          <w:ilvl w:val="0"/>
          <w:numId w:val="2"/>
        </w:numPr>
        <w:spacing w:after="80" w:line="276"/>
      </w:pPr>
      <w:r>
        <w:t xml:space="preserve">Finance's own systems remain the source of truth for vendor invoices and payment; EDS records the reference only.</w:t>
      </w:r>
    </w:p>
    <w:p>
      <w:pPr>
        <w:pStyle w:val="Heading3"/>
        <w:spacing w:after="90" w:before="180"/>
      </w:pPr>
      <w:r>
        <w:t xml:space="preserve">Risks</w:t>
      </w:r>
    </w:p>
    <w:p>
      <w:pPr>
        <w:pStyle w:val="ListParagraph"/>
        <w:numPr>
          <w:ilvl w:val="0"/>
          <w:numId w:val="2"/>
        </w:numPr>
        <w:spacing w:after="80" w:line="276"/>
      </w:pPr>
      <w:r>
        <w:t xml:space="preserve">Any RFP/bid records already entered in the current build need to be archived (exported, not deleted) before the related menus are hidden.</w:t>
      </w:r>
    </w:p>
    <w:p>
      <w:pPr>
        <w:pStyle w:val="ListParagraph"/>
        <w:numPr>
          <w:ilvl w:val="0"/>
          <w:numId w:val="2"/>
        </w:numPr>
        <w:spacing w:after="80" w:line="276"/>
      </w:pPr>
      <w:r>
        <w:t xml:space="preserve">Import-template errors (bad employee or session codes) must be surfaced clearly to the L&amp;D officer; mitigated by reusing the validation/error-report pattern already proven in eds.pms.gap.import.</w:t>
      </w:r>
    </w:p>
    <w:p>
      <w:pPr>
        <w:pStyle w:val="ListParagraph"/>
        <w:numPr>
          <w:ilvl w:val="0"/>
          <w:numId w:val="2"/>
        </w:numPr>
        <w:spacing w:after="80" w:line="276"/>
      </w:pPr>
      <w:r>
        <w:t xml:space="preserve">No automated test coverage currently exists for the EDS module (unlike competency_management, which has a tests/ suite) – recommend adding tests for the new import wizards in Phase 3 at minimum.</w:t>
      </w:r>
    </w:p>
    <w:p>
      <w:pPr>
        <w:pStyle w:val="Heading1"/>
        <w:spacing w:after="160" w:before="320"/>
      </w:pPr>
      <w:r>
        <w:t xml:space="preserve">12. Summary</w:t>
      </w:r>
    </w:p>
    <w:p>
      <w:pPr>
        <w:spacing w:after="160" w:line="276"/>
      </w:pPr>
      <w:r>
        <w:t xml:space="preserve">The core logic of the BRD requirement is preserved in full – TNA-driven planning, approval workflows, session delivery, four-level evaluation, certification, budget tracking, and reporting all remain exactly as designed. What changes is only how three categories of information reach the system: vendor/venue selection, invoice records, and pre/post-training scores move from an assumed direct/external entry model to L&amp;D-mediated manual entry or bulk template import – the same pattern already proven in the module's existing PMS gap-import wizard. This keeps the system fully inside the Bank's private network with no loss of the underlying business logic.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395"/>
      <w:sz w:val="25"/>
      <w:szCs w:val="25"/>
    </w:rPr>
  </w:style>
  <w:style w:type="paragraph" w:styleId="Heading3">
    <w:name w:val="Heading 3"/>
    <w:basedOn w:val="Normal"/>
    <w:next w:val="Normal"/>
    <w:qFormat/>
    <w:pPr>
      <w:spacing w:after="90" w:before="180"/>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2026-09-04T11:26:55.612Z</dcterms:created>
  <dcterms:modified xsi:type="dcterms:W3CDTF">2026-09-04T11:26:55.612Z</dcterms:modified>
</cp:coreProperties>
</file>

<file path=docProps/custom.xml><?xml version="1.0" encoding="utf-8"?>
<Properties xmlns="http://schemas.openxmlformats.org/officeDocument/2006/custom-properties" xmlns:vt="http://schemas.openxmlformats.org/officeDocument/2006/docPropsVTypes"/>
</file>