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ДОГОВОР ПОДРЯДА № ______</w:t>
      </w:r>
    </w:p>
    <w:p>
      <w:pPr>
        <w:spacing w:after="24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на выполнение монтажных и пусконаладочных работ</w:t>
      </w:r>
    </w:p>
    <w:p>
      <w:pPr>
        <w:spacing w:after="24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г. Москва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                                     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«____» ______________ 2026 г.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________________________________________________, именуемый(ая) в дальнейшем «Заказчик», с одной стороны, и ________________________________________________, именуемый(ая) в дальнейшем «Подрядчик», действующий лично и обеспечивающий выполнение работ силами персонала, указанного в Приложении № 4 к настоящему Договору, с другой стороны, совместно именуемые «Стороны», заключили настоящий Договор о нижеследующем: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ПРЕДМЕТ ДОГОВОРА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1.1. Подрядчик обязуется выполнить монтажные и пусконаладочные работы по устройству системы усиления сотовой связи (далее — «Работы») на объекте: Жилой комплекс № 6, г. Москва, ул. Шеногина, земельный участок 2/17, кадастровый номер 77:08:0012003:2841 (далее — «Объект»), а Заказчик обязуется принять результат Работ и оплатить его в порядке, установленном настоящим Договором.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1.2. Состав и требования к Работам определяются Приложением № 1, сроки — Приложением № 2, объёмы и цена — Приложением № 3, являющимися неотъемлемыми частями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1.3. Предметом Договора является выполнение Работ (прокладка кабельных линий, монтаж оборудования, разъёмов, антенн, щитового оборудования, устройств заземления, маркировка, пусконаладочные работы). Поставка оборудования, изделий и материалов в обязанности Подрядчика не входит и осуществляется Заказчиком.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1.4. Работы выполняются в соответствии с рабочей документацией ЖК6-Р-СУСС.ТХ, ЖК6-Р-СУСС.ЭМ, переданной Заказчиком, требованиями СП, ПУЭ и указаниями изготовителя оборудования.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ОБЯЗАННОСТИ СТОРОН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2.1. Подрядчик обязан: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выполнить Работы качественно, в согласованные сроки и в объёме, предусмотренном Договором;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обеспечить персонал ручным инструментом и средствами индивидуальной защиты;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соблюдать чистоту на участке производства Работ и складировать отходы в местах, указанных Заказчиком;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незамедлительно уведомлять Заказчика о выявленных недостатках проектной документации либо условиях площадки, препятствующих производству Работ, и не продолжать соответствующие работы до получения указаний Заказчика;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допускать повреждения инженерных систем и отделки Объекта; при причинении такого вреда по вине Подрядчика возместить Заказчику документально подтверждённые расходы на устранение;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не допускать на Объект третьих лиц без согласия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2.2. Заказчик обязан: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обеспечить Подрядчику доступ на Объект, места складирования и контакт ответственного представителя;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передать рабочую документацию и график производства Работ;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осуществить поставку, разгрузку и подъём оборудования и материалов к месту производства Работ;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 необходимости производства работ на высоте обеспечить средства подмащивания (леса, подъёмник, люльку) либо заранее согласовать с Подрядчиком порядок их предоставления;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оформить исполнительную документацию, требуемую органами надзора; Подрядчик оказывает содействие путём фотофиксации и передачи сведений о фактически выполненных работах;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координировать работу смежных подрядчиков;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принять и оплатить результат Работ.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2.3. Не относятся к обязательствам Подрядчика по настоящему Договору: разработка проекта производства работ и стройгенплана, устройство ограждения строительной площадки, бытового городка, пункта мойки колёс, освещения площадки, выполнение земляных работ, эксплуатация грузоподъёмных кранов, лабораторные испытания, предоставление банковской гарантии, поставка оборудования, а также уплата штрафов и неустоек, предъявленных Заказчику генподрядчиком, техническим заказчиком, органами надзора либо иными третьими лицами.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СРОКИ ВЫПОЛНЕНИЯ РАБОТ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3.1. Срок начала Работ — 20 июля 2026 г. Срок окончания Работ — 20 сентября 2026 г. Промежуточные сроки определяются Приложением № 2.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3.2. Сроки подлежат соразмерному продлению при задержке предоставления доступа на Объект, материалов, строительной готовности, оплаты, а также при производстве работ, не обусловленных виной Подрядчика. Продление фиксируется в порядке пункта 10.2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3.3. По согласованию Сторон Работы могут быть выполнены досрочно.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ЦЕНА ДОГОВОРА И ПОРЯДОК РАСЧЁТОВ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4.1. Цена Договора составляет _________________ (________________________________) рублей. НДС: не облагается / включён в цену / начисляется сверх цены (нужное указать). Цена является твёрдой применительно к объёму, указанному в Приложении № 3.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4.2. В цену включены стоимость Работ, инструмента Подрядчика и расходов, связанных с пребыванием персонала на Объекте. Не включены стоимость оборудования, кабельной продукции, разъёмов, антенн, щитового оборудования, проектного крепежа, средств подмащивания и вывоза контейнера со строительными отходами.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4.3. Заказчик выплачивает аванс в размере ______ % цены Договора в течение 5 (пяти) рабочих дней с даты подписания Договора. Если условие об авансе согласовано, начало Работ обусловлено его поступлением.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4.4. Последующие платежи производятся за фактически принятые объёмы не реже двух раз в месяц в течение 5 (пяти) рабочих дней с даты подписания акта (Приложение № 5). Гарантийное удержание и банковская гарантия не применяются.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4.5. Работы, не предусмотренные Приложением № 3, выполняются и оплачиваются только при условии предварительного письменного согласования их состава и цены.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4.6. Расчёты производятся в рублях Российской Федерации по реквизитам Подрядчика, указанным в разделе 11. Датой оплаты считается дата зачисления денежных средств на счёт Подрядчика.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СДАЧА-ПРИЁМКА РАБОТ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5.1. Приёмка осуществляется поэтапно и по завершении Работ в целом. Результат оформляется актом по форме Приложения № 5. Применение форм КС-2 и КС-3 не является обязательным, если Стороны не договорятся об ином.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5.2. Заказчик в течение 5 (пяти) рабочих дней с даты получения акта подписывает его либо направляет мотивированный отказ с перечнем недостатков, подлежащих устранению. При ненаправлении отказа в указанный срок Работы считаются принятыми и подлежат оплате.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5.3. Наличие недостатков, не препятствующих использованию результата Работ по назначению, не является основанием для отказа в приёмке и оплате. Такие недостатки устраняются Подрядчиком в гарантийный срок.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ГАРАНТИЙНЫЕ ОБЯЗАТЕЛЬСТВА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6.1. Гарантийный срок на результат монтажных работ, выполненных Подрядчиком, составляет 12 (двенадцать) месяцев с даты подписания итогового акта сдачи-приёмки. Гарантия изготовителя на оборудование и материалы, поставленные Заказчиком, Подрядчиком не предоставляется.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6.2. Гарантия не распространяется на недостатки, возникшие вследствие вмешательства третьих лиц, нарушения правил эксплуатации, механических повреждений, воздействия влаги, ошибок проектной документации либо заводского брака изделий, поставленных Заказчиком.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6.3. Заказчик уведомляет Подрядчика о выявленных недостатках в письменной форме, в том числе с приложением фотоматериалов. Подрядчик проводит осмотр в течение 10 (десяти) рабочих дней и устраняет подтверждённые недостатки, вызванные ненадлежащим выполнением Работ, за свой счёт. При отсутствии вины Подрядчика устранение производится за счёт Заказчика.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ОТВЕТСТВЕННОСТЬ СТОРОН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7.1. За просрочку выполнения Работ по вине Подрядчика Подрядчик уплачивает Заказчику неустойку в размере 0,05 % (пять сотых процента) стоимости невыполненных в срок Работ за каждый день просрочки, но не более 5 % (пяти процентов) цены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7.2. За просрочку оплаты по вине Заказчика Заказчик уплачивает Подрядчику неустойку в размере 0,05 % (пять сотых процента) суммы задолженности за каждый день просрочки, но не более 5 % (пяти процентов) цены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7.3. Неустойка не начисляется за период, на который сроки продлены в соответствии с пунктом 3.2 Договора. Уплата неустойки не освобождает Стороны от исполнения обязательств в натуре. Иные штрафы, в том числе фиксированные санкции за нарушение требований охраны труда и организации строительной площадки, настоящим Договором не устанавливаются.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7.4. Подрядчик не несёт ответственности за упущенную выгоду Заказчика, а также за штрафы, пени и убытки, предъявленные Заказчику третьими лицами, включая генподрядчика, технического заказчика, органы надзора и эксплуатирующую организацию.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7.5. При причинении Подрядчиком вреда имуществу Заказчика либо третьих лиц возмещению подлежат только документально подтверждённые расходы на ремонт или замену повреждённого имущества.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7.6. Стороны освобождаются от ответственности за неисполнение обязательств, вызванное обстоятельствами непреодолимой силы.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ОХРАНА ТРУДА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8.1. Подрядчик обеспечивает соблюдение персоналом требований охраны труда и правил пребывания на Объекте, применение средств индивидуальной защиты, производство работ на высоте с использованием страховочной привязи, недопущение нахождения персонала на Объекте в состоянии алкогольного или наркотического опьянения.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8.2. Заказчик проводит вводный инструктаж и доводит правила Объекта. Наряды-допуски на работы повышенной опасности, если они требуются правилами Объекта, оформляет Заказчик; персонал Подрядчика ознакамливается с ними под роспись и исполняет.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8.3. За нарушение пункта 8.1 Заказчик вправе отстранить соответствующего работника от производства Работ до устранения нарушения. Денежные штрафные санкции за такие нарушения Договором не предусмотрены. Лицо, находившееся на Объекте в состоянии опьянения, к дальнейшему производству Работ не допускается.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8.4. Требования и штрафные санкции генподрядчика (технического заказчика) по организации строительной площадки к Подрядчику по настоящему Договору не применяются.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ИЗМЕНЕНИЕ И РАСТОРЖЕНИЕ ДОГОВОРА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9.1. Договор может быть расторгнут по соглашению Сторон.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9.2. Заказчик вправе отказаться от Договора, предупредив Подрядчика в письменной форме за 5 (пять) рабочих дней, с оплатой фактически выполненных Работ и документально подтверждённых расходов Подрядчика, понесённых в связи с исполнением Договора.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9.3. Подрядчик вправе отказаться от Договора, предупредив Заказчика в письменной форме за 5 (пять) рабочих дней, если Заказчик более 10 (десяти) рабочих дней не обеспечивает оплату, доступ на Объект либо поставку материалов, либо существенно изменяет объём Работ без согласования цены.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ЗАКЛЮЧИТЕЛЬНЫЕ ПОЛОЖЕНИЯ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10.1. Споры подлежат урегулированию путём переговоров. Срок рассмотрения претензии — 10 (десять) календарных дней. Неурегулированные споры рассматриваются судом по месту нахождения Объекта (г. Москва) в соответствии с законодательством Российской Федерации.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10.2. Юридически значимые сообщения направляются по адресам электронной почты, указанным в разделе 11, а также по иным согласованным Сторонами каналам связи и считаются полученными в день отправки при наличии подтверждения доставки либо ответа адресата. Договор, акты и соглашения об изменении цены подписываются на бумажном носителе либо посредством электронного документооборота.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10.3. Изменения Договора действительны при условии их оформления в письменной форме.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10.4. Недействительность отдельного положения не влечёт недействительности Договора в целом.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10.5. Договор составлен в двух экземплярах, имеющих равную юридическую силу, по одному для каждой из Сторон, вступает в силу с даты подписания и действует до полного исполнения обязательств, включая гарантийные.</w:t>
      </w:r>
    </w:p>
    <w:p>
      <w:pPr>
        <w:spacing w:after="160" w:before="24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АДРЕСА,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ЗАКАЗЧИК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2"/>
              </w:rPr>
              <w:t>ПОДРЯДЧИК</w:t>
            </w:r>
          </w:p>
        </w:tc>
      </w:tr>
      <w:tr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________________________________</w:t>
              <w:br/>
              <w:t>ИНН / ОГРНИП / паспорт: ________</w:t>
              <w:br/>
              <w:t>Адрес: _________________________</w:t>
              <w:br/>
              <w:t>Тел.: __________________________</w:t>
              <w:br/>
              <w:t>E-mail: ________________________</w:t>
              <w:br/>
              <w:t>Р/с: ___________________________</w:t>
              <w:br/>
              <w:t>Банк: __________________________</w:t>
              <w:br/>
              <w:t>БИК / к/с: _____________________</w:t>
              <w:br/>
              <w:br/>
              <w:t>_________________ / __________ /</w:t>
              <w:br/>
              <w:t>М.П. (при наличии)</w:t>
            </w:r>
          </w:p>
        </w:tc>
        <w:tc>
          <w:tcPr>
            <w:tcW w:type="dxa" w:w="467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2"/>
              </w:rPr>
              <w:t>________________________________</w:t>
              <w:br/>
              <w:t>ИНН / ОГРНИП / паспорт: ________</w:t>
              <w:br/>
              <w:t>Адрес: _________________________</w:t>
              <w:br/>
              <w:t>Тел.: __________________________</w:t>
              <w:br/>
              <w:t>E-mail: ________________________</w:t>
              <w:br/>
              <w:t>Р/с: ___________________________</w:t>
              <w:br/>
              <w:t>Банк: __________________________</w:t>
              <w:br/>
              <w:t>БИК / к/с: _____________________</w:t>
              <w:br/>
              <w:br/>
              <w:t>_________________ / __________ /</w:t>
              <w:br/>
              <w:t>М.П. (при наличии)</w:t>
            </w:r>
          </w:p>
        </w:tc>
      </w:tr>
    </w:tbl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Перечень приложений: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1 — Техническое задание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2 — График выполнения работ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3 — Ведомость объёмов и стоимости работ</w:t>
      </w:r>
    </w:p>
    <w:p>
      <w:pPr>
        <w:spacing w:after="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4 — Перечень персонала Подрядчика</w:t>
      </w:r>
    </w:p>
    <w:p>
      <w:pPr>
        <w:spacing w:after="24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Приложение № 5 — Форма акта сдачи-приёмки работ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1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ТЕХНИЧЕСКОЕ ЗАДАНИЕ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Устройство системы усиления сотовой связи (СУСС) на объекте «Жилой комплекс № 6», г. Москва, ул. Шеногина, зу. 2/17, кадастровый номер 77:08:0012003:2841.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Работы выполняются по рабочей документации ЖК6-Р-СУСС.ТХ, ЖК6-Р-СУСС.ЭМ и ведомости объёмов работ.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2.1. В объём Работ Подрядчика входит: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прокладка ВЧ-кабеля 1/2" и 7/8" в лотках и по конструкциям здания с шагом крепления согласно рабочей документации (0,5 м для кабеля 1/2", 0,8 м для кабеля 7/8");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монтаж антенн, делителей, ответвителей, комбайнеров, разъёмов 4.3-10, коммутационных перемычек;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монтаж щитового оборудования, силовых и заземляющих кабельных линий, гофрированных труб и гильз по разделу ЭМ, противопожарная заделка проходок материалами Заказчика;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маркировка кабельных линий комплектом, предоставленным Заказчиком;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пусконаладочные работы совместно с представителем Заказчика.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2.2. Заказчик обеспечивает: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поставку оборудования и материалов согласно рабочей документации;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доступ на Объект и места складирования;</w:t>
      </w:r>
    </w:p>
    <w:p>
      <w:pPr>
        <w:spacing w:after="6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— подъём материалов к месту производства Работ.</w:t>
      </w:r>
    </w:p>
    <w:p>
      <w:pPr>
        <w:spacing w:after="120" w:before="0" w:line="240" w:lineRule="auto"/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2.3. Высота подвеса антенн уточняется при монтаже по согласованию с Заказчиком. Изменение проектных решений без согласования с Заказчиком не допускается. Строительные отходы размещаются в контейнере Заказчика; вывоз контейнера осуществляет Заказчик.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2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ГРАФИК ВЫПОЛНЕНИЯ РАБОТ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этапа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Начало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Окончание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кабельных трасс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20.07.2026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20.08.2026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Установка оконечного оборудования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21.08.2026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09.09.2026</w:t>
            </w:r>
          </w:p>
        </w:tc>
      </w:tr>
      <w:tr>
        <w:tc>
          <w:tcPr>
            <w:tcW w:type="dxa" w:w="85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102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Пусконаладочные работы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10.09.2026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20.09.2026</w:t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Сроки подлежат корректировке в случаях, предусмотренных пунктом 3.2 Договора.</w:t>
      </w:r>
    </w:p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3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ВЕДОМОСТЬ ОБЪЁМОВ И СТОИМОСТИ РАБОТ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Количество принято по ведомости объёмов объекта. Цену единицы и сумму Стороны указывают при подписании. Незаполненная графа цены не считается равной нулю до исключения строки по соглашению Сторон.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работ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 изм.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Цена, руб.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кабеля ППГнг(А)-HF 3х6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трубы гофрированной ПВХ d32 с крепежом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50 с противопожарной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2,5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щита распределительного навесного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щита ЩРН-П-18 и комплектация согласно проекту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провода заземления ПуГПнг(А)-HF 1х10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кросса оптического КРН-32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гибридного комбайнера 6 дБ с нагрузками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2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3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делителя мощности 4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−7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−8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−9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−10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−13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ответвителя −15 дБ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1/2" прямого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1/2" углового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4.3-10f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34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разъёма 4.3-10m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TQJ-0740XTLA-M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AI698-2700V05i360A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антенны TDJ-0738BJA-M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ВЧ-кабеля 1/2"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6450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Прокладка ВЧ-кабеля 7/8"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1295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перемычки 1/2" L=1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перемычки 1/2" L=2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шт.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25 с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104,3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гильз из трубы стальной ВГП 50 с заделкой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4,9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32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Монтаж лотка 200×50 с системой крепления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пог. м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33</w:t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Пусконаладочные работы комплекса СУСС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комплекс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819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13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24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160" w:line="240" w:lineRule="auto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Всего по Договору: _______________ руб.</w:t>
      </w: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4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ПЕРЕЧЕНЬ ПЕРСОНАЛА ПОДРЯДЧИКА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несёт ответственность перед Заказчиком за действия лиц, указанных в настоящем перечне. Расчёты между Подрядчиком и указанными лицами осуществляются Подрядчиком самостоятельно, если Стороны письменно не согласуют иной порядок оплаты.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Ф.И.О.</w:t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Телефон</w:t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Функция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Подпись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984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55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0" w:line="240" w:lineRule="auto"/>
      </w:pPr>
    </w:p>
    <w:p>
      <w:pPr>
        <w:spacing w:after="12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 xml:space="preserve">Заказчик _____________ / _____________    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Подрядчик _____________ / _____________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Приложение № 5 к Договору подряда № ______ от «____» ______________ 2026 г.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АКТ СДАЧИ-ПРИЁМКИ РАБОТ № ______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от «____» ______________ 2026 г.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Заказчик: ________________________________. Подрядчик: ________________________________. Объект: Жилой комплекс № 6, г. Москва, ул. Шеногина, зу. 2/17. Отчётный период: с __________ по __________.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№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Наименование работ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Ед. изм.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Кол-во</w:t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0"/>
              </w:rPr>
              <w:t>Сумма, руб.</w:t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680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535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  <w:t>Итого</w:t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417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701"/>
          </w:tcPr>
          <w:p>
            <w:pPr>
              <w:spacing w:after="40" w:before="4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spacing w:after="120" w:before="20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Замечания Заказчика: ________________________________________________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К оплате: _______________ руб. Зачтено аванса: _______________ руб. К перечислению: _______________ руб.</w:t>
      </w:r>
    </w:p>
    <w:p>
      <w:pPr>
        <w:spacing w:after="120" w:before="0" w:line="240" w:lineRule="auto"/>
      </w:pP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Сдал: Подрядчик _____________ / _____________</w:t>
      </w:r>
    </w:p>
    <w:p>
      <w:pPr>
        <w:spacing w:after="120" w:before="0" w:line="240" w:lineRule="auto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Принял: Заказчик _____________ / _____________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