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23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</w:rPr>
        <mc:AlternateContent>
          <mc:Choice Requires="wpg">
            <w:drawing>
              <wp:inline distB="0" distT="0" distL="114300" distR="114300">
                <wp:extent cx="576961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95" y="3775238"/>
                          <a:ext cx="5769610" cy="9525"/>
                          <a:chOff x="2461195" y="3775238"/>
                          <a:chExt cx="5769610" cy="9525"/>
                        </a:xfrm>
                      </wpg:grpSpPr>
                      <wpg:grpSp>
                        <wpg:cNvGrpSpPr/>
                        <wpg:grpSpPr>
                          <a:xfrm>
                            <a:off x="2461195" y="3775238"/>
                            <a:ext cx="5769610" cy="9525"/>
                            <a:chOff x="2461195" y="3775238"/>
                            <a:chExt cx="5769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461195" y="3775238"/>
                              <a:ext cx="5769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61195" y="3775238"/>
                              <a:ext cx="5769600" cy="9525"/>
                              <a:chOff x="0" y="0"/>
                              <a:chExt cx="5769600" cy="952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769600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4445"/>
                                <a:ext cx="57689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961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8" w:lineRule="auto"/>
        <w:ind w:right="65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Villa Farm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513" y="3780000"/>
                          <a:ext cx="576897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1" w:lineRule="auto"/>
        <w:ind w:left="1440" w:right="848" w:firstLine="72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    Módulo de Revisión de Solicitud                                          Especificación de Caso de Uso: </w:t>
      </w:r>
    </w:p>
    <w:p w:rsidR="00000000" w:rsidDel="00000000" w:rsidP="00000000" w:rsidRDefault="00000000" w:rsidRPr="00000000" w14:paraId="00000008">
      <w:pPr>
        <w:spacing w:before="81" w:lineRule="auto"/>
        <w:ind w:left="1440" w:right="848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Revisar Estado de solicitud de compra</w:t>
      </w:r>
    </w:p>
    <w:p w:rsidR="00000000" w:rsidDel="00000000" w:rsidP="00000000" w:rsidRDefault="00000000" w:rsidRPr="00000000" w14:paraId="00000009">
      <w:pPr>
        <w:spacing w:before="1" w:lineRule="auto"/>
        <w:ind w:right="847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  <w:sectPr>
          <w:pgSz w:h="16850" w:w="11910" w:orient="portrait"/>
          <w:pgMar w:bottom="280" w:top="1000" w:left="1280" w:right="7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90" w:lineRule="auto"/>
        <w:ind w:left="1798" w:right="2488" w:firstLine="0"/>
        <w:jc w:val="center"/>
        <w:rPr/>
      </w:pPr>
      <w:r w:rsidDel="00000000" w:rsidR="00000000" w:rsidRPr="00000000">
        <w:rPr>
          <w:rtl w:val="0"/>
        </w:rPr>
        <w:t xml:space="preserve">Historial de Revisión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1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trHeight w:val="397" w:hRule="atLeast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23" w:right="813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7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242" w:right="1233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824" w:right="81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671" w:hRule="atLeast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27/05/21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5" w:lineRule="auto"/>
              <w:ind w:left="114" w:firstLine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5" w:right="18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Grupo de Desarrollo Villa Farm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50" w:w="11910" w:orient="portrait"/>
          <w:pgMar w:bottom="1200" w:top="1660" w:left="1280" w:right="780" w:header="1044" w:footer="101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5" w:lineRule="auto"/>
        <w:ind w:left="1797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Times New Roman" w:cs="Times New Roman" w:eastAsia="Times New Roman" w:hAnsi="Times New Roman"/>
          <w:b w:val="1"/>
          <w:color w:val="000000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8.0" w:type="dxa"/>
        <w:jc w:val="left"/>
        <w:tblInd w:w="117.0" w:type="dxa"/>
        <w:tblLayout w:type="fixed"/>
        <w:tblLook w:val="0000"/>
      </w:tblPr>
      <w:tblGrid>
        <w:gridCol w:w="4956"/>
        <w:gridCol w:w="3982"/>
        <w:tblGridChange w:id="0">
          <w:tblGrid>
            <w:gridCol w:w="4956"/>
            <w:gridCol w:w="398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7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gjdgxs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Usuario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solicita el estado de la solicitud de compra 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6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35" w:hRule="atLeast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30j0zll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Breve Descripción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1fob9te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Precondiciones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2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3znysh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Flujo de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37" w:hRule="atLeast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3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2et92p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Flujo Básico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tyjcwt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Flujos Alternativos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2" w:lineRule="auto"/>
              <w:ind w:left="5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hyperlink w:anchor="_3dy6vkm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0"/>
                  <w:szCs w:val="20"/>
                  <w:rtl w:val="0"/>
                </w:rPr>
                <w:t xml:space="preserve">Post condiciones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4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2" w:lineRule="auto"/>
              <w:ind w:left="41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</w:rPr>
            </w:pPr>
            <w:hyperlink w:anchor="_1t3h5sf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00"/>
                  <w:sz w:val="20"/>
                  <w:szCs w:val="20"/>
                  <w:rtl w:val="0"/>
                </w:rPr>
                <w:t xml:space="preserve">La postulación queda registrada en el sistema.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right="47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A">
      <w:pPr>
        <w:spacing w:line="256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5" w:lineRule="auto"/>
        <w:ind w:left="1801" w:right="248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Revisar estado de solicitud de compra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ind w:left="880" w:hanging="721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Usuario solicita información del estado de la solicitud de compra al sistema.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120" w:lineRule="auto"/>
        <w:ind w:left="880" w:hanging="72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" w:line="276" w:lineRule="auto"/>
        <w:ind w:left="868" w:right="85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Permite al usuario revisar su historial de solicitudes de compra , de acuerdo a las ventas o compras que haya realizado 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61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Sistema habilitado.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40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El usuario está logueado.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38" w:lineRule="auto"/>
        <w:ind w:left="880" w:hanging="361"/>
        <w:rPr/>
      </w:pPr>
      <w:r w:rsidDel="00000000" w:rsidR="00000000" w:rsidRPr="00000000">
        <w:rPr>
          <w:color w:val="000000"/>
          <w:rtl w:val="0"/>
        </w:rPr>
        <w:t xml:space="preserve">El usuario está en la interfaz del Caso de Uso: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Flujo de Eventos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" w:line="276" w:lineRule="auto"/>
        <w:ind w:left="868" w:right="173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caso de uso es inicializado cuando el cliente hace click en el botón “Solicitudes de compra” en las opciones del lado superior derecho.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05.0" w:type="dxa"/>
        <w:jc w:val="left"/>
        <w:tblInd w:w="9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4750"/>
        <w:tblGridChange w:id="0">
          <w:tblGrid>
            <w:gridCol w:w="4155"/>
            <w:gridCol w:w="475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671" w:right="1662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956" w:right="1944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522" w:hRule="atLeast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3" w:line="252.00000000000003" w:lineRule="auto"/>
              <w:ind w:left="1149" w:right="145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color w:val="000000"/>
                <w:rtl w:val="0"/>
              </w:rPr>
              <w:t xml:space="preserve">El actor invoca el caso de uso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1181" w:right="38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El sistema despliega un listado de opciones, dependiendo del tipo de solicitud que el usuario desee visualizar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1181" w:right="38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1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149" w:right="28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El actor selecciona el tipo de contrato a visualizar.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5" w:lineRule="auto"/>
              <w:ind w:left="1150" w:right="38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color w:val="000000"/>
                <w:rtl w:val="0"/>
              </w:rPr>
              <w:t xml:space="preserve">El sistema realiza el filtro del tipo de solicitud a la tabla correspondiente según el id del usuario y muestra los resultados en las instancias representadas de una nueva vista en la interfaz.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6" w:hRule="atLeast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7" w:lineRule="auto"/>
              <w:ind w:left="1150" w:right="427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 Termina el caso de uso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  <w:sectPr>
          <w:type w:val="nextPage"/>
          <w:pgSz w:h="16850" w:w="11910" w:orient="portrait"/>
          <w:pgMar w:bottom="1200" w:top="1660" w:left="1280" w:right="780" w:header="1044" w:footer="10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80"/>
          <w:tab w:val="left" w:pos="881"/>
        </w:tabs>
        <w:spacing w:before="90" w:lineRule="auto"/>
        <w:ind w:left="880" w:hanging="72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Flujos Alternativos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55"/>
          <w:tab w:val="left" w:pos="1656"/>
        </w:tabs>
        <w:spacing w:line="266" w:lineRule="auto"/>
        <w:ind w:left="868" w:right="1650" w:firstLine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Botón Cerrar: Cierra lo desplegado en el paso 4 termina el caso de uso sin modificación.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4F">
      <w:pPr>
        <w:pStyle w:val="Heading2"/>
        <w:tabs>
          <w:tab w:val="left" w:pos="880"/>
          <w:tab w:val="left" w:pos="88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tabs>
          <w:tab w:val="left" w:pos="880"/>
          <w:tab w:val="left" w:pos="881"/>
        </w:tabs>
        <w:ind w:left="880" w:hanging="721"/>
        <w:rPr/>
      </w:pPr>
      <w:bookmarkStart w:colFirst="0" w:colLast="0" w:name="_1t3h5sf" w:id="7"/>
      <w:bookmarkEnd w:id="7"/>
      <w:r w:rsidDel="00000000" w:rsidR="00000000" w:rsidRPr="00000000">
        <w:rPr>
          <w:b w:val="0"/>
          <w:rtl w:val="0"/>
        </w:rPr>
        <w:t xml:space="preserve">El usuario conoce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s </w:t>
      </w:r>
      <w:r w:rsidDel="00000000" w:rsidR="00000000" w:rsidRPr="00000000">
        <w:rPr>
          <w:rtl w:val="0"/>
        </w:rPr>
        <w:t xml:space="preserve">solicitudes </w:t>
      </w:r>
      <w:r w:rsidDel="00000000" w:rsidR="00000000" w:rsidRPr="00000000">
        <w:rPr>
          <w:b w:val="0"/>
          <w:rtl w:val="0"/>
        </w:rPr>
        <w:t xml:space="preserve">que posee en su cuenta</w:t>
      </w:r>
      <w:r w:rsidDel="00000000" w:rsidR="00000000" w:rsidRPr="00000000">
        <w:rPr>
          <w:rtl w:val="0"/>
        </w:rPr>
        <w:t xml:space="preserve">.</w:t>
      </w:r>
    </w:p>
    <w:sectPr>
      <w:type w:val="nextPage"/>
      <w:pgSz w:h="16850" w:w="11910" w:orient="portrait"/>
      <w:pgMar w:bottom="1200" w:top="1660" w:left="1280" w:right="780" w:header="1044" w:footer="10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0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583" w:hanging="730.9999999999998"/>
      </w:pPr>
      <w:rPr>
        <w:b w:val="1"/>
      </w:rPr>
    </w:lvl>
    <w:lvl w:ilvl="2">
      <w:start w:val="1"/>
      <w:numFmt w:val="bullet"/>
      <w:lvlText w:val="●"/>
      <w:lvlJc w:val="left"/>
      <w:pPr>
        <w:ind w:left="880" w:hanging="73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3432" w:hanging="732"/>
      </w:pPr>
      <w:rPr/>
    </w:lvl>
    <w:lvl w:ilvl="4">
      <w:start w:val="1"/>
      <w:numFmt w:val="bullet"/>
      <w:lvlText w:val="•"/>
      <w:lvlJc w:val="left"/>
      <w:pPr>
        <w:ind w:left="4348" w:hanging="732"/>
      </w:pPr>
      <w:rPr/>
    </w:lvl>
    <w:lvl w:ilvl="5">
      <w:start w:val="1"/>
      <w:numFmt w:val="bullet"/>
      <w:lvlText w:val="•"/>
      <w:lvlJc w:val="left"/>
      <w:pPr>
        <w:ind w:left="5265" w:hanging="732"/>
      </w:pPr>
      <w:rPr/>
    </w:lvl>
    <w:lvl w:ilvl="6">
      <w:start w:val="1"/>
      <w:numFmt w:val="bullet"/>
      <w:lvlText w:val="•"/>
      <w:lvlJc w:val="left"/>
      <w:pPr>
        <w:ind w:left="6181" w:hanging="732"/>
      </w:pPr>
      <w:rPr/>
    </w:lvl>
    <w:lvl w:ilvl="7">
      <w:start w:val="1"/>
      <w:numFmt w:val="bullet"/>
      <w:lvlText w:val="•"/>
      <w:lvlJc w:val="left"/>
      <w:pPr>
        <w:ind w:left="7097" w:hanging="732"/>
      </w:pPr>
      <w:rPr/>
    </w:lvl>
    <w:lvl w:ilvl="8">
      <w:start w:val="1"/>
      <w:numFmt w:val="bullet"/>
      <w:lvlText w:val="•"/>
      <w:lvlJc w:val="left"/>
      <w:pPr>
        <w:ind w:left="8013" w:hanging="732.0000000000009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868" w:hanging="788"/>
      </w:pPr>
      <w:rPr/>
    </w:lvl>
    <w:lvl w:ilvl="1">
      <w:start w:val="2"/>
      <w:numFmt w:val="decimal"/>
      <w:lvlText w:val="%1.%2"/>
      <w:lvlJc w:val="left"/>
      <w:pPr>
        <w:ind w:left="868" w:hanging="788"/>
      </w:pPr>
      <w:rPr/>
    </w:lvl>
    <w:lvl w:ilvl="2">
      <w:start w:val="1"/>
      <w:numFmt w:val="decimal"/>
      <w:lvlText w:val="%1.%2.%3"/>
      <w:lvlJc w:val="left"/>
      <w:pPr>
        <w:ind w:left="868" w:hanging="788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3">
      <w:start w:val="1"/>
      <w:numFmt w:val="bullet"/>
      <w:lvlText w:val="•"/>
      <w:lvlJc w:val="left"/>
      <w:pPr>
        <w:ind w:left="3555" w:hanging="788"/>
      </w:pPr>
      <w:rPr/>
    </w:lvl>
    <w:lvl w:ilvl="4">
      <w:start w:val="1"/>
      <w:numFmt w:val="bullet"/>
      <w:lvlText w:val="•"/>
      <w:lvlJc w:val="left"/>
      <w:pPr>
        <w:ind w:left="4454" w:hanging="788.0000000000005"/>
      </w:pPr>
      <w:rPr/>
    </w:lvl>
    <w:lvl w:ilvl="5">
      <w:start w:val="1"/>
      <w:numFmt w:val="bullet"/>
      <w:lvlText w:val="•"/>
      <w:lvlJc w:val="left"/>
      <w:pPr>
        <w:ind w:left="5353" w:hanging="788.0000000000009"/>
      </w:pPr>
      <w:rPr/>
    </w:lvl>
    <w:lvl w:ilvl="6">
      <w:start w:val="1"/>
      <w:numFmt w:val="bullet"/>
      <w:lvlText w:val="•"/>
      <w:lvlJc w:val="left"/>
      <w:pPr>
        <w:ind w:left="6251" w:hanging="787"/>
      </w:pPr>
      <w:rPr/>
    </w:lvl>
    <w:lvl w:ilvl="7">
      <w:start w:val="1"/>
      <w:numFmt w:val="bullet"/>
      <w:lvlText w:val="•"/>
      <w:lvlJc w:val="left"/>
      <w:pPr>
        <w:ind w:left="7150" w:hanging="788"/>
      </w:pPr>
      <w:rPr/>
    </w:lvl>
    <w:lvl w:ilvl="8">
      <w:start w:val="1"/>
      <w:numFmt w:val="bullet"/>
      <w:lvlText w:val="•"/>
      <w:lvlJc w:val="left"/>
      <w:pPr>
        <w:ind w:left="8049" w:hanging="78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5" w:lineRule="auto"/>
      <w:ind w:right="2488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880" w:hanging="72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