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8u0sdxv20an" w:id="0"/>
      <w:bookmarkEnd w:id="0"/>
      <w:r w:rsidDel="00000000" w:rsidR="00000000" w:rsidRPr="00000000">
        <w:rPr>
          <w:rtl w:val="0"/>
        </w:rPr>
        <w:t xml:space="preserve">Librerías Utilizadas: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body-parser":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Es un middleware de node.js el cual nos permite analizar los cuerpos de las solicitudes entrantes antes que los co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ntroladores. Disponible bajo la propiedad req.body. Nos facilita el uso de los métodos post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"cors":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Es un middleware de node.js el cual nos permite el intercambio de datos entre distintos servidores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"crypto":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Es una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librería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de node.js el cual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proporciona una funcionalidad criptográfica que incluye un conjunto de envoltorios para las funciones HMAC, cifrado, descifrado, firma y verificación de hash de SSL abierto.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"dotenv":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En una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librería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de node.js el cual nos permite cargar variables de entorno desde el archivo .env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"express": </w:t>
      </w:r>
      <w:r w:rsidDel="00000000" w:rsidR="00000000" w:rsidRPr="00000000">
        <w:rPr>
          <w:color w:val="555555"/>
          <w:rtl w:val="0"/>
        </w:rPr>
        <w:t xml:space="preserve">Express es una framework de  Node.js mínima y flexible que proporciona un conjunto sólido de características para las aplicaciones web y móviles.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"express-jwt":</w:t>
      </w: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Esta librería proporciona un middleware a Express para validar JWT (JSON Web Tokens) a través del módulo jsonwebtoken. La carga útil JWT decodificada está disponible en el objeto de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"express-validator":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express-validator es un conjunto de middlewares express.js que envuelve las funciones de validación y desinfección de validator.js.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"formidable":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Una librería de Node.js para analizar datos de formularios, especialmente cargas de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"jsonwebtoken": </w:t>
      </w:r>
      <w:r w:rsidDel="00000000" w:rsidR="00000000" w:rsidRPr="00000000">
        <w:rPr>
          <w:color w:val="333333"/>
          <w:highlight w:val="white"/>
          <w:rtl w:val="0"/>
        </w:rPr>
        <w:t xml:space="preserve">Una implementación de JSON Web Token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el cual crea un token que sirve para enviar datos entre aplicaciones o servicios y garantizar que son válidos y seguros.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"lodash":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Lodash es una librería de JavaScript que ayuda a los programadores a escribir JavaScript más conciso y fácil de mantener.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"mongoose":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Mongoose es una herramienta de modelado de objetos de MongoDB diseñada para funcionar en un entorno asincrónico. Mongoose admite tanto promesas como devoluciones de llamada.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"morgan": </w:t>
      </w:r>
      <w:r w:rsidDel="00000000" w:rsidR="00000000" w:rsidRPr="00000000">
        <w:rPr>
          <w:rFonts w:ascii="Roboto" w:cs="Roboto" w:eastAsia="Roboto" w:hAnsi="Roboto"/>
          <w:color w:val="252525"/>
          <w:rtl w:val="0"/>
        </w:rPr>
        <w:t xml:space="preserve">Middleware que sirve de registrador de solicitudes HTTP para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"uuid":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Nos ayuda a crear un número único el cual se usará como identificador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