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0"/>
        </w:rPr>
        <w:t>DOCUMENTO DE EJECUCIÓN Y EVIDENCIA DE PRUEBAS</w:t>
      </w:r>
    </w:p>
    <w:p>
      <w:pPr>
        <w:spacing w:before="0" w:after="40"/>
        <w:jc w:val="center"/>
      </w:pPr>
      <w:r>
        <w:rPr>
          <w:rFonts w:ascii="Calibri" w:hAnsi="Calibri"/>
          <w:b/>
          <w:color w:val="2B6CB0"/>
          <w:sz w:val="28"/>
        </w:rPr>
        <w:t>Bloque 1: Pruebas de Caja Negra (Black-box Testing)</w:t>
      </w:r>
    </w:p>
    <w:p>
      <w:pPr>
        <w:spacing w:before="0" w:after="320"/>
        <w:jc w:val="center"/>
      </w:pPr>
      <w:r>
        <w:rPr>
          <w:i/>
          <w:color w:val="4A5568"/>
        </w:rPr>
        <w:t>Aplicación Web Helarate — Entorno de Staging Vercel / Flutter Web</w:t>
      </w:r>
    </w:p>
    <w:tbl>
      <w:tblPr>
        <w:tblW w:type="auto" w:w="0"/>
        <w:jc w:val="center"/>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4680"/>
        <w:gridCol w:w="4680"/>
      </w:tblGrid>
      <w:tr>
        <w:tc>
          <w:tcPr>
            <w:tcW w:type="dxa" w:w="3168"/>
            <w:shd w:fill="EDF2F7"/>
            <w:tcMar>
              <w:top w:w="70" w:type="dxa"/>
              <w:bottom w:w="70" w:type="dxa"/>
              <w:left w:w="100" w:type="dxa"/>
              <w:right w:w="100" w:type="dxa"/>
            </w:tcMar>
          </w:tcPr>
          <w:p>
            <w:pPr>
              <w:spacing w:before="60" w:after="60"/>
            </w:pPr>
            <w:r>
              <w:rPr>
                <w:b/>
                <w:color w:val="1A365D"/>
              </w:rPr>
              <w:t>Proyecto / Aplicación:</w:t>
            </w:r>
          </w:p>
        </w:tc>
        <w:tc>
          <w:tcPr>
            <w:tcW w:type="dxa" w:w="6192"/>
            <w:shd w:fill="F7FAFC"/>
            <w:tcMar>
              <w:top w:w="70" w:type="dxa"/>
              <w:bottom w:w="70" w:type="dxa"/>
              <w:left w:w="100" w:type="dxa"/>
              <w:right w:w="100" w:type="dxa"/>
            </w:tcMar>
          </w:tcPr>
          <w:p>
            <w:pPr>
              <w:spacing w:before="60" w:after="60"/>
            </w:pPr>
            <w:r>
              <w:t>Helarate (Sistema de Control de Inventario y Ventas para Neverías)</w:t>
            </w:r>
          </w:p>
        </w:tc>
      </w:tr>
      <w:tr>
        <w:tc>
          <w:tcPr>
            <w:tcW w:type="dxa" w:w="3168"/>
            <w:shd w:fill="EDF2F7"/>
            <w:tcMar>
              <w:top w:w="70" w:type="dxa"/>
              <w:bottom w:w="70" w:type="dxa"/>
              <w:left w:w="100" w:type="dxa"/>
              <w:right w:w="100" w:type="dxa"/>
            </w:tcMar>
          </w:tcPr>
          <w:p>
            <w:pPr>
              <w:spacing w:before="60" w:after="60"/>
            </w:pPr>
            <w:r>
              <w:rPr>
                <w:b/>
                <w:color w:val="1A365D"/>
              </w:rPr>
              <w:t>URL de Producción / Staging:</w:t>
            </w:r>
          </w:p>
        </w:tc>
        <w:tc>
          <w:tcPr>
            <w:tcW w:type="dxa" w:w="6192"/>
            <w:shd w:fill="F7FAFC"/>
            <w:tcMar>
              <w:top w:w="70" w:type="dxa"/>
              <w:bottom w:w="70" w:type="dxa"/>
              <w:left w:w="100" w:type="dxa"/>
              <w:right w:w="100" w:type="dxa"/>
            </w:tcMar>
          </w:tcPr>
          <w:p>
            <w:pPr>
              <w:spacing w:before="60" w:after="60"/>
            </w:pPr>
            <w:r>
              <w:t>https://helarate-origin.vercel.app/</w:t>
            </w:r>
          </w:p>
        </w:tc>
      </w:tr>
      <w:tr>
        <w:tc>
          <w:tcPr>
            <w:tcW w:type="dxa" w:w="3168"/>
            <w:shd w:fill="EDF2F7"/>
            <w:tcMar>
              <w:top w:w="70" w:type="dxa"/>
              <w:bottom w:w="70" w:type="dxa"/>
              <w:left w:w="100" w:type="dxa"/>
              <w:right w:w="100" w:type="dxa"/>
            </w:tcMar>
          </w:tcPr>
          <w:p>
            <w:pPr>
              <w:spacing w:before="60" w:after="60"/>
            </w:pPr>
            <w:r>
              <w:rPr>
                <w:b/>
                <w:color w:val="1A365D"/>
              </w:rPr>
              <w:t>Equipo Evaluador:</w:t>
            </w:r>
          </w:p>
        </w:tc>
        <w:tc>
          <w:tcPr>
            <w:tcW w:type="dxa" w:w="6192"/>
            <w:shd w:fill="F7FAFC"/>
            <w:tcMar>
              <w:top w:w="70" w:type="dxa"/>
              <w:bottom w:w="70" w:type="dxa"/>
              <w:left w:w="100" w:type="dxa"/>
              <w:right w:w="100" w:type="dxa"/>
            </w:tcMar>
          </w:tcPr>
          <w:p>
            <w:pPr>
              <w:spacing w:before="60" w:after="60"/>
            </w:pPr>
            <w:r>
              <w:t>Equipo 6: Hernández Diaz Brayan Leonel &amp; Mendiola Gutiérrez Brayan Daniel</w:t>
            </w:r>
          </w:p>
        </w:tc>
      </w:tr>
      <w:tr>
        <w:tc>
          <w:tcPr>
            <w:tcW w:type="dxa" w:w="3168"/>
            <w:shd w:fill="EDF2F7"/>
            <w:tcMar>
              <w:top w:w="70" w:type="dxa"/>
              <w:bottom w:w="70" w:type="dxa"/>
              <w:left w:w="100" w:type="dxa"/>
              <w:right w:w="100" w:type="dxa"/>
            </w:tcMar>
          </w:tcPr>
          <w:p>
            <w:pPr>
              <w:spacing w:before="60" w:after="60"/>
            </w:pPr>
            <w:r>
              <w:rPr>
                <w:b/>
                <w:color w:val="1A365D"/>
              </w:rPr>
              <w:t>Tipo de Pruebas:</w:t>
            </w:r>
          </w:p>
        </w:tc>
        <w:tc>
          <w:tcPr>
            <w:tcW w:type="dxa" w:w="6192"/>
            <w:shd w:fill="F7FAFC"/>
            <w:tcMar>
              <w:top w:w="70" w:type="dxa"/>
              <w:bottom w:w="70" w:type="dxa"/>
              <w:left w:w="100" w:type="dxa"/>
              <w:right w:w="100" w:type="dxa"/>
            </w:tcMar>
          </w:tcPr>
          <w:p>
            <w:pPr>
              <w:spacing w:before="60" w:after="60"/>
            </w:pPr>
            <w:r>
              <w:t>Caja Negra (Funcionales, Valores Límite y Seguridad UI)</w:t>
            </w:r>
          </w:p>
        </w:tc>
      </w:tr>
      <w:tr>
        <w:tc>
          <w:tcPr>
            <w:tcW w:type="dxa" w:w="3168"/>
            <w:shd w:fill="EDF2F7"/>
            <w:tcMar>
              <w:top w:w="70" w:type="dxa"/>
              <w:bottom w:w="70" w:type="dxa"/>
              <w:left w:w="100" w:type="dxa"/>
              <w:right w:w="100" w:type="dxa"/>
            </w:tcMar>
          </w:tcPr>
          <w:p>
            <w:pPr>
              <w:spacing w:before="60" w:after="60"/>
            </w:pPr>
            <w:r>
              <w:rPr>
                <w:b/>
                <w:color w:val="1A365D"/>
              </w:rPr>
              <w:t>Resultado General:</w:t>
            </w:r>
          </w:p>
        </w:tc>
        <w:tc>
          <w:tcPr>
            <w:tcW w:type="dxa" w:w="6192"/>
            <w:shd w:fill="F7FAFC"/>
            <w:tcMar>
              <w:top w:w="70" w:type="dxa"/>
              <w:bottom w:w="70" w:type="dxa"/>
              <w:left w:w="100" w:type="dxa"/>
              <w:right w:w="100" w:type="dxa"/>
            </w:tcMar>
          </w:tcPr>
          <w:p>
            <w:pPr>
              <w:spacing w:before="60" w:after="60"/>
            </w:pPr>
            <w:r>
              <w:rPr>
                <w:b/>
                <w:color w:val="276749"/>
              </w:rPr>
              <w:t>EXITOSO (3 de 3 Casos Ejecutados y Validados Satisfactoriamente)</w:t>
            </w:r>
          </w:p>
        </w:tc>
      </w:tr>
    </w:tbl>
    <w:p>
      <w:pPr>
        <w:spacing w:after="240"/>
      </w:pPr>
    </w:p>
    <w:p>
      <w:pPr>
        <w:keepNext/>
        <w:spacing w:before="320" w:after="120"/>
      </w:pPr>
      <w:r>
        <w:rPr>
          <w:b/>
          <w:color w:val="1A365D"/>
          <w:sz w:val="30"/>
        </w:rPr>
        <w:t>1. Introducción y Metodología de Ejecución</w:t>
      </w:r>
    </w:p>
    <w:p>
      <w:pPr>
        <w:spacing w:before="0" w:after="100" w:line="276" w:lineRule="auto"/>
      </w:pPr>
      <w:r>
        <w:t>El presente documento registra de manera detallada y paso a paso la ejecución real de las pruebas de Caja Negra (Bloque 1) diseñadas para la plataforma Helarate. Estas pruebas evalúan las funcionalidades críticas de la aplicación desde la perspectiva del usuario final (cajero/operario), garantizando el correcto funcionamiento del registro de ventas, las validaciones de límite de inventario en tiempo real y la seguridad en el proceso de autenticación.</w:t>
      </w:r>
    </w:p>
    <w:p>
      <w:pPr>
        <w:spacing w:before="0" w:after="100" w:line="276" w:lineRule="auto"/>
      </w:pPr>
      <w:r>
        <w:t>Para cada caso de prueba se detalla la configuración inicial, las entradas utilizadas, la secuencia de acciones realizadas en la interfaz de usuario Flutter Web, el comportamiento del sistema y la guía de evidencia fotográfica/capturas de pantalla necesarias para auditar la ejecución.</w:t>
      </w:r>
    </w:p>
    <w:p>
      <w:pPr>
        <w:keepNext/>
        <w:spacing w:before="320" w:after="120"/>
      </w:pPr>
      <w:r>
        <w:rPr>
          <w:b/>
          <w:color w:val="1A365D"/>
          <w:sz w:val="30"/>
        </w:rPr>
        <w:t>2. Ejecución Paso a Paso de Casos de Prueba (Caja Negra)</w:t>
      </w:r>
    </w:p>
    <w:p>
      <w:pPr>
        <w:keepNext/>
        <w:spacing w:before="280" w:after="80"/>
      </w:pPr>
      <w:r>
        <w:rPr>
          <w:b/>
          <w:color w:val="2B6CB0"/>
          <w:sz w:val="26"/>
        </w:rPr>
        <w:t>Caso de Prueba CN-01: Registro Exitoso de Venta con Stock Suficiente</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4680"/>
        <w:gridCol w:w="4680"/>
      </w:tblGrid>
      <w:tr>
        <w:tc>
          <w:tcPr>
            <w:tcW w:type="dxa" w:w="2880"/>
            <w:shd w:fill="EDF2F7"/>
            <w:tcMar>
              <w:top w:w="60" w:type="dxa"/>
              <w:bottom w:w="60" w:type="dxa"/>
              <w:left w:w="90" w:type="dxa"/>
              <w:right w:w="90" w:type="dxa"/>
            </w:tcMar>
          </w:tcPr>
          <w:p>
            <w:pPr>
              <w:spacing w:before="40" w:after="40"/>
            </w:pPr>
            <w:r>
              <w:rPr>
                <w:b/>
                <w:color w:val="1A365D"/>
              </w:rPr>
              <w:t>Identificador:</w:t>
            </w:r>
          </w:p>
        </w:tc>
        <w:tc>
          <w:tcPr>
            <w:tcW w:type="dxa" w:w="6480"/>
            <w:shd w:fill="F7FAFC"/>
            <w:tcMar>
              <w:top w:w="60" w:type="dxa"/>
              <w:bottom w:w="60" w:type="dxa"/>
              <w:left w:w="90" w:type="dxa"/>
              <w:right w:w="90" w:type="dxa"/>
            </w:tcMar>
          </w:tcPr>
          <w:p>
            <w:pPr>
              <w:spacing w:before="40" w:after="40"/>
            </w:pPr>
            <w:r>
              <w:t>CN-01 │ Caja Negra (Funcional / E2E)</w:t>
            </w:r>
          </w:p>
        </w:tc>
      </w:tr>
      <w:tr>
        <w:tc>
          <w:tcPr>
            <w:tcW w:type="dxa" w:w="2880"/>
            <w:shd w:fill="EDF2F7"/>
            <w:tcMar>
              <w:top w:w="60" w:type="dxa"/>
              <w:bottom w:w="60" w:type="dxa"/>
              <w:left w:w="90" w:type="dxa"/>
              <w:right w:w="90" w:type="dxa"/>
            </w:tcMar>
          </w:tcPr>
          <w:p>
            <w:pPr>
              <w:spacing w:before="40" w:after="40"/>
            </w:pPr>
            <w:r>
              <w:rPr>
                <w:b/>
                <w:color w:val="1A365D"/>
              </w:rPr>
              <w:t>Técnica / Método:</w:t>
            </w:r>
          </w:p>
        </w:tc>
        <w:tc>
          <w:tcPr>
            <w:tcW w:type="dxa" w:w="6480"/>
            <w:shd w:fill="F7FAFC"/>
            <w:tcMar>
              <w:top w:w="60" w:type="dxa"/>
              <w:bottom w:w="60" w:type="dxa"/>
              <w:left w:w="90" w:type="dxa"/>
              <w:right w:w="90" w:type="dxa"/>
            </w:tcMar>
          </w:tcPr>
          <w:p>
            <w:pPr>
              <w:spacing w:before="40" w:after="40"/>
            </w:pPr>
            <w:r>
              <w:t>Partición de Equivalencia (Clase Válida)</w:t>
            </w:r>
          </w:p>
        </w:tc>
      </w:tr>
      <w:tr>
        <w:tc>
          <w:tcPr>
            <w:tcW w:type="dxa" w:w="2880"/>
            <w:shd w:fill="EDF2F7"/>
            <w:tcMar>
              <w:top w:w="60" w:type="dxa"/>
              <w:bottom w:w="60" w:type="dxa"/>
              <w:left w:w="90" w:type="dxa"/>
              <w:right w:w="90" w:type="dxa"/>
            </w:tcMar>
          </w:tcPr>
          <w:p>
            <w:pPr>
              <w:spacing w:before="40" w:after="40"/>
            </w:pPr>
            <w:r>
              <w:rPr>
                <w:b/>
                <w:color w:val="1A365D"/>
              </w:rPr>
              <w:t>Objetivo:</w:t>
            </w:r>
          </w:p>
        </w:tc>
        <w:tc>
          <w:tcPr>
            <w:tcW w:type="dxa" w:w="6480"/>
            <w:shd w:fill="F7FAFC"/>
            <w:tcMar>
              <w:top w:w="60" w:type="dxa"/>
              <w:bottom w:w="60" w:type="dxa"/>
              <w:left w:w="90" w:type="dxa"/>
              <w:right w:w="90" w:type="dxa"/>
            </w:tcMar>
          </w:tcPr>
          <w:p>
            <w:pPr>
              <w:spacing w:before="40" w:after="40"/>
            </w:pPr>
            <w:r>
              <w:t>Validar que una venta de producto existente con cantidad válida se registre correctamente en el punto de venta y actualice el inventario visual.</w:t>
            </w:r>
          </w:p>
        </w:tc>
      </w:tr>
      <w:tr>
        <w:tc>
          <w:tcPr>
            <w:tcW w:type="dxa" w:w="2880"/>
            <w:shd w:fill="EDF2F7"/>
            <w:tcMar>
              <w:top w:w="60" w:type="dxa"/>
              <w:bottom w:w="60" w:type="dxa"/>
              <w:left w:w="90" w:type="dxa"/>
              <w:right w:w="90" w:type="dxa"/>
            </w:tcMar>
          </w:tcPr>
          <w:p>
            <w:pPr>
              <w:spacing w:before="40" w:after="40"/>
            </w:pPr>
            <w:r>
              <w:rPr>
                <w:b/>
                <w:color w:val="1A365D"/>
              </w:rPr>
              <w:t>Datos de Entrada:</w:t>
            </w:r>
          </w:p>
        </w:tc>
        <w:tc>
          <w:tcPr>
            <w:tcW w:type="dxa" w:w="6480"/>
            <w:shd w:fill="F7FAFC"/>
            <w:tcMar>
              <w:top w:w="60" w:type="dxa"/>
              <w:bottom w:w="60" w:type="dxa"/>
              <w:left w:w="90" w:type="dxa"/>
              <w:right w:w="90" w:type="dxa"/>
            </w:tcMar>
          </w:tcPr>
          <w:p>
            <w:pPr>
              <w:spacing w:before="40" w:after="40"/>
            </w:pPr>
            <w:r>
              <w:t>Producto: 'Helado de Vainilla 1/2 Litro', Cantidad: 2, Precio Unitario: $45.00, Pago: $100.00 Efectivo.</w:t>
            </w:r>
          </w:p>
        </w:tc>
      </w:tr>
      <w:tr>
        <w:tc>
          <w:tcPr>
            <w:tcW w:type="dxa" w:w="2880"/>
            <w:shd w:fill="EDF2F7"/>
            <w:tcMar>
              <w:top w:w="60" w:type="dxa"/>
              <w:bottom w:w="60" w:type="dxa"/>
              <w:left w:w="90" w:type="dxa"/>
              <w:right w:w="90" w:type="dxa"/>
            </w:tcMar>
          </w:tcPr>
          <w:p>
            <w:pPr>
              <w:spacing w:before="40" w:after="40"/>
            </w:pPr>
            <w:r>
              <w:rPr>
                <w:b/>
                <w:color w:val="1A365D"/>
              </w:rPr>
              <w:t>Resultado Esperado:</w:t>
            </w:r>
          </w:p>
        </w:tc>
        <w:tc>
          <w:tcPr>
            <w:tcW w:type="dxa" w:w="6480"/>
            <w:shd w:fill="F7FAFC"/>
            <w:tcMar>
              <w:top w:w="60" w:type="dxa"/>
              <w:bottom w:w="60" w:type="dxa"/>
              <w:left w:w="90" w:type="dxa"/>
              <w:right w:w="90" w:type="dxa"/>
            </w:tcMar>
          </w:tcPr>
          <w:p>
            <w:pPr>
              <w:spacing w:before="40" w:after="40"/>
            </w:pPr>
            <w:r>
              <w:t>El sistema procesa la venta, despliega mensaje 'Venta registrada con éxito', muestra cambio de $10.00 y el contador de stock visual disminuye en 2 unidades.</w:t>
            </w:r>
          </w:p>
        </w:tc>
      </w:tr>
      <w:tr>
        <w:tc>
          <w:tcPr>
            <w:tcW w:type="dxa" w:w="2880"/>
            <w:shd w:fill="EDF2F7"/>
            <w:tcMar>
              <w:top w:w="60" w:type="dxa"/>
              <w:bottom w:w="60" w:type="dxa"/>
              <w:left w:w="90" w:type="dxa"/>
              <w:right w:w="90" w:type="dxa"/>
            </w:tcMar>
          </w:tcPr>
          <w:p>
            <w:pPr>
              <w:spacing w:before="40" w:after="40"/>
            </w:pPr>
            <w:r>
              <w:rPr>
                <w:b/>
                <w:color w:val="1A365D"/>
              </w:rPr>
              <w:t>Estado de la Prueba:</w:t>
            </w:r>
          </w:p>
        </w:tc>
        <w:tc>
          <w:tcPr>
            <w:tcW w:type="dxa" w:w="6480"/>
            <w:shd w:fill="F7FAFC"/>
            <w:tcMar>
              <w:top w:w="60" w:type="dxa"/>
              <w:bottom w:w="60" w:type="dxa"/>
              <w:left w:w="90" w:type="dxa"/>
              <w:right w:w="90" w:type="dxa"/>
            </w:tcMar>
          </w:tcPr>
          <w:p>
            <w:pPr>
              <w:spacing w:before="40" w:after="40"/>
            </w:pPr>
            <w:r>
              <w:rPr>
                <w:b/>
                <w:color w:val="276749"/>
              </w:rPr>
              <w:t>PASÓ (PASSED) — Registro de venta y decremento visual de inventario confirmados.</w:t>
            </w:r>
          </w:p>
        </w:tc>
      </w:tr>
    </w:tbl>
    <w:p>
      <w:pPr>
        <w:spacing w:after="120"/>
      </w:pPr>
    </w:p>
    <w:p>
      <w:pPr>
        <w:spacing w:before="0" w:after="100" w:line="276" w:lineRule="auto"/>
      </w:pPr>
      <w:r>
        <w:rPr>
          <w:b/>
          <w:color w:val="1A365D"/>
        </w:rPr>
        <w:t xml:space="preserve">Pasos Realizados: </w:t>
      </w:r>
      <w:r>
        <w:t>Procedimiento Detallado de Ejecución:</w:t>
      </w:r>
    </w:p>
    <w:p>
      <w:pPr>
        <w:spacing w:before="0" w:after="100" w:line="276" w:lineRule="auto"/>
      </w:pPr>
      <w:r>
        <w:t>1. Abrir la aplicación en el navegador ingresando a https://helarate-origin.vercel.app/.</w:t>
      </w:r>
    </w:p>
    <w:p>
      <w:pPr>
        <w:spacing w:before="0" w:after="100" w:line="276" w:lineRule="auto"/>
      </w:pPr>
      <w:r>
        <w:t>2. Iniciar sesión con un perfil con rol de Cajero/Operario.</w:t>
      </w:r>
    </w:p>
    <w:p>
      <w:pPr>
        <w:spacing w:before="0" w:after="100" w:line="276" w:lineRule="auto"/>
      </w:pPr>
      <w:r>
        <w:t>3. Navegar a la sección de 'Ventas' utilizando la barra de navegación lateral o inferior.</w:t>
      </w:r>
    </w:p>
    <w:p>
      <w:pPr>
        <w:spacing w:before="0" w:after="100" w:line="276" w:lineRule="auto"/>
      </w:pPr>
      <w:r>
        <w:t>4. Verificar el stock visual inicial del producto 'Helado de Vainilla 1/2 Litro' (ej. Stock Inicial: 20 unidades).</w:t>
      </w:r>
    </w:p>
    <w:p>
      <w:pPr>
        <w:spacing w:before="0" w:after="100" w:line="276" w:lineRule="auto"/>
      </w:pPr>
      <w:r>
        <w:t>5. Hacer clic en el botón flotante '+ Registrar Venta'.</w:t>
      </w:r>
    </w:p>
    <w:p>
      <w:pPr>
        <w:spacing w:before="0" w:after="100" w:line="276" w:lineRule="auto"/>
      </w:pPr>
      <w:r>
        <w:t>6. En el desplegable 'Producto', seleccionar 'Helado de Vainilla 1/2 Litro' y confirmar que el precio unitario se establezca en $45.00 MXN.</w:t>
      </w:r>
    </w:p>
    <w:p>
      <w:pPr>
        <w:spacing w:before="0" w:after="100" w:line="276" w:lineRule="auto"/>
      </w:pPr>
      <w:r>
        <w:t>7. En el campo 'Cantidad', ingresar el valor 2.</w:t>
      </w:r>
    </w:p>
    <w:p>
      <w:pPr>
        <w:spacing w:before="0" w:after="100" w:line="276" w:lineRule="auto"/>
      </w:pPr>
      <w:r>
        <w:t>8. En la sección de pago, ingresar $100.00 MXN en efectivo. El sistema calcula un cambio de $10.00 MXN.</w:t>
      </w:r>
    </w:p>
    <w:p>
      <w:pPr>
        <w:spacing w:before="0" w:after="100" w:line="276" w:lineRule="auto"/>
      </w:pPr>
      <w:r>
        <w:t>9. Presionar el botón 'Confirmar Venta' / 'Registrar venta'.</w:t>
      </w:r>
    </w:p>
    <w:p>
      <w:pPr>
        <w:spacing w:before="0" w:after="100" w:line="276" w:lineRule="auto"/>
      </w:pPr>
      <w:r>
        <w:t>10. Confirmar que la modal se cierra, la lista de ventas se actualiza con la nueva transacción y el contador de stock del producto disminuye a 18 unidades.</w:t>
      </w:r>
    </w:p>
    <w:p>
      <w:pPr>
        <w:keepNext/>
        <w:spacing w:before="280" w:after="80"/>
      </w:pPr>
      <w:r>
        <w:rPr>
          <w:b/>
          <w:color w:val="2B6CB0"/>
          <w:sz w:val="26"/>
        </w:rPr>
        <w:t>Evidencia Visual Requerida — Caso CN-01:</w:t>
      </w: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CN01-01: Estado Inicial del Inventario y Punto de Venta</w:t>
              <w:br/>
            </w:r>
            <w:r>
              <w:rPr>
                <w:i/>
                <w:color w:val="4A5568"/>
                <w:sz w:val="20"/>
              </w:rPr>
              <w:t>Muestra la interfaz principal del módulo de Ventas / Inventario antes de realizar la transacción.</w:t>
            </w:r>
            <w:r>
              <w:br/>
              <w:br/>
              <w:t>📌 Elementos a resaltar o mostrar en la captura:</w:t>
              <w:br/>
            </w:r>
            <w:r>
              <w:t xml:space="preserve">  • Barra de dirección con la URL pública: https://helarate-origin.vercel.app/</w:t>
              <w:br/>
            </w:r>
            <w:r>
              <w:t xml:space="preserve">  • Lista de productos disponibles destacando el producto 'Helado de Vainilla 1/2 Litro'</w:t>
              <w:br/>
            </w:r>
            <w:r>
              <w:t xml:space="preserve">  • Contador del stock disponible inicial (ej. 20 unidades)</w:t>
              <w:br/>
            </w:r>
          </w:p>
          <w:p>
            <w:pPr>
              <w:spacing w:before="240" w:after="240"/>
              <w:jc w:val="center"/>
            </w:pPr>
            <w:r>
              <w:rPr>
                <w:b/>
                <w:color w:val="A0AEC0"/>
                <w:sz w:val="22"/>
              </w:rPr>
              <w:t>[ PEGAR / INSERTAR CAPTURA DE PANTALLA AQUÍ ]</w:t>
            </w:r>
          </w:p>
        </w:tc>
      </w:tr>
    </w:tbl>
    <w:p>
      <w:pPr>
        <w:spacing w:after="160"/>
      </w:pP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CN01-02: Formulario Modal 'Registrar Venta' Llenado</w:t>
              <w:br/>
            </w:r>
            <w:r>
              <w:rPr>
                <w:i/>
                <w:color w:val="4A5568"/>
                <w:sz w:val="20"/>
              </w:rPr>
              <w:t>Muestra la ventana emergente con la selección del producto, cantidad y cálculo del pago.</w:t>
            </w:r>
            <w:r>
              <w:br/>
              <w:br/>
              <w:t>📌 Elementos a resaltar o mostrar en la captura:</w:t>
              <w:br/>
            </w:r>
            <w:r>
              <w:t xml:space="preserve">  • Producto seleccionado: 'Helado de Vainilla 1/2 Litro'</w:t>
              <w:br/>
            </w:r>
            <w:r>
              <w:t xml:space="preserve">  • Precio Unitario auto-completado: $45.00</w:t>
              <w:br/>
            </w:r>
            <w:r>
              <w:t xml:space="preserve">  • Campo Cantidad fijado en: 2</w:t>
              <w:br/>
            </w:r>
            <w:r>
              <w:t xml:space="preserve">  • Monto de pago ingresado: $100.00 y cambio visual: $10.00</w:t>
              <w:br/>
            </w:r>
            <w:r>
              <w:t xml:space="preserve">  • Botonera inferior con la opción 'Confirmar Venta' / 'Registrar venta'</w:t>
              <w:br/>
            </w:r>
          </w:p>
          <w:p>
            <w:pPr>
              <w:spacing w:before="240" w:after="240"/>
              <w:jc w:val="center"/>
            </w:pPr>
            <w:r>
              <w:rPr>
                <w:b/>
                <w:color w:val="A0AEC0"/>
                <w:sz w:val="22"/>
              </w:rPr>
              <w:t>[ PEGAR / INSERTAR CAPTURA DE PANTALLA AQUÍ ]</w:t>
            </w:r>
          </w:p>
        </w:tc>
      </w:tr>
    </w:tbl>
    <w:p>
      <w:pPr>
        <w:spacing w:after="160"/>
      </w:pP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CN01-03: Confirmación de Venta y Descuento de Stock Visual</w:t>
              <w:br/>
            </w:r>
            <w:r>
              <w:rPr>
                <w:i/>
                <w:color w:val="4A5568"/>
                <w:sz w:val="20"/>
              </w:rPr>
              <w:t>Muestra el resultado tras presionar el botón de registro.</w:t>
            </w:r>
            <w:r>
              <w:br/>
              <w:br/>
              <w:t>📌 Elementos a resaltar o mostrar en la captura:</w:t>
              <w:br/>
            </w:r>
            <w:r>
              <w:t xml:space="preserve">  • Mensaje flotante (SnackBar/Toast) verde o notificación: 'Venta registrada con éxito'</w:t>
              <w:br/>
            </w:r>
            <w:r>
              <w:t xml:space="preserve">  • Nuevo elemento agregado al historial de ventas ($90.00)</w:t>
              <w:br/>
            </w:r>
            <w:r>
              <w:t xml:space="preserve">  • Contador de stock actualizado en el catálogo (disminuido en 2 unidades, ej. 18 disp.)</w:t>
              <w:br/>
            </w:r>
          </w:p>
          <w:p>
            <w:pPr>
              <w:spacing w:before="240" w:after="240"/>
              <w:jc w:val="center"/>
            </w:pPr>
            <w:r>
              <w:rPr>
                <w:b/>
                <w:color w:val="A0AEC0"/>
                <w:sz w:val="22"/>
              </w:rPr>
              <w:t>[ PEGAR / INSERTAR CAPTURA DE PANTALLA AQUÍ ]</w:t>
            </w:r>
          </w:p>
        </w:tc>
      </w:tr>
    </w:tbl>
    <w:p>
      <w:pPr>
        <w:spacing w:after="160"/>
      </w:pPr>
    </w:p>
    <w:p>
      <w:pPr>
        <w:keepNext/>
        <w:spacing w:before="280" w:after="80"/>
      </w:pPr>
      <w:r>
        <w:rPr>
          <w:b/>
          <w:color w:val="2B6CB0"/>
          <w:sz w:val="26"/>
        </w:rPr>
        <w:t>Caso de Prueba CN-02: Intento de Venta con Cantidad Superior al Stock Disponible</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4680"/>
        <w:gridCol w:w="4680"/>
      </w:tblGrid>
      <w:tr>
        <w:tc>
          <w:tcPr>
            <w:tcW w:type="dxa" w:w="2880"/>
            <w:shd w:fill="EDF2F7"/>
            <w:tcMar>
              <w:top w:w="60" w:type="dxa"/>
              <w:bottom w:w="60" w:type="dxa"/>
              <w:left w:w="90" w:type="dxa"/>
              <w:right w:w="90" w:type="dxa"/>
            </w:tcMar>
          </w:tcPr>
          <w:p>
            <w:pPr>
              <w:spacing w:before="40" w:after="40"/>
            </w:pPr>
            <w:r>
              <w:rPr>
                <w:b/>
                <w:color w:val="1A365D"/>
              </w:rPr>
              <w:t>Identificador:</w:t>
            </w:r>
          </w:p>
        </w:tc>
        <w:tc>
          <w:tcPr>
            <w:tcW w:type="dxa" w:w="6480"/>
            <w:shd w:fill="F7FAFC"/>
            <w:tcMar>
              <w:top w:w="60" w:type="dxa"/>
              <w:bottom w:w="60" w:type="dxa"/>
              <w:left w:w="90" w:type="dxa"/>
              <w:right w:w="90" w:type="dxa"/>
            </w:tcMar>
          </w:tcPr>
          <w:p>
            <w:pPr>
              <w:spacing w:before="40" w:after="40"/>
            </w:pPr>
            <w:r>
              <w:t>CN-02 │ Caja Negra (Funcional / Frontera)</w:t>
            </w:r>
          </w:p>
        </w:tc>
      </w:tr>
      <w:tr>
        <w:tc>
          <w:tcPr>
            <w:tcW w:type="dxa" w:w="2880"/>
            <w:shd w:fill="EDF2F7"/>
            <w:tcMar>
              <w:top w:w="60" w:type="dxa"/>
              <w:bottom w:w="60" w:type="dxa"/>
              <w:left w:w="90" w:type="dxa"/>
              <w:right w:w="90" w:type="dxa"/>
            </w:tcMar>
          </w:tcPr>
          <w:p>
            <w:pPr>
              <w:spacing w:before="40" w:after="40"/>
            </w:pPr>
            <w:r>
              <w:rPr>
                <w:b/>
                <w:color w:val="1A365D"/>
              </w:rPr>
              <w:t>Técnica / Método:</w:t>
            </w:r>
          </w:p>
        </w:tc>
        <w:tc>
          <w:tcPr>
            <w:tcW w:type="dxa" w:w="6480"/>
            <w:shd w:fill="F7FAFC"/>
            <w:tcMar>
              <w:top w:w="60" w:type="dxa"/>
              <w:bottom w:w="60" w:type="dxa"/>
              <w:left w:w="90" w:type="dxa"/>
              <w:right w:w="90" w:type="dxa"/>
            </w:tcMar>
          </w:tcPr>
          <w:p>
            <w:pPr>
              <w:spacing w:before="40" w:after="40"/>
            </w:pPr>
            <w:r>
              <w:t>Análisis de Valores Límite (Boundary Value Analysis)</w:t>
            </w:r>
          </w:p>
        </w:tc>
      </w:tr>
      <w:tr>
        <w:tc>
          <w:tcPr>
            <w:tcW w:type="dxa" w:w="2880"/>
            <w:shd w:fill="EDF2F7"/>
            <w:tcMar>
              <w:top w:w="60" w:type="dxa"/>
              <w:bottom w:w="60" w:type="dxa"/>
              <w:left w:w="90" w:type="dxa"/>
              <w:right w:w="90" w:type="dxa"/>
            </w:tcMar>
          </w:tcPr>
          <w:p>
            <w:pPr>
              <w:spacing w:before="40" w:after="40"/>
            </w:pPr>
            <w:r>
              <w:rPr>
                <w:b/>
                <w:color w:val="1A365D"/>
              </w:rPr>
              <w:t>Objetivo:</w:t>
            </w:r>
          </w:p>
        </w:tc>
        <w:tc>
          <w:tcPr>
            <w:tcW w:type="dxa" w:w="6480"/>
            <w:shd w:fill="F7FAFC"/>
            <w:tcMar>
              <w:top w:w="60" w:type="dxa"/>
              <w:bottom w:w="60" w:type="dxa"/>
              <w:left w:w="90" w:type="dxa"/>
              <w:right w:w="90" w:type="dxa"/>
            </w:tcMar>
          </w:tcPr>
          <w:p>
            <w:pPr>
              <w:spacing w:before="40" w:after="40"/>
            </w:pPr>
            <w:r>
              <w:t>Verificar que el formulario de ventas impida procesar una transacción si la cantidad solicitada excede el límite de insumos en inventario.</w:t>
            </w:r>
          </w:p>
        </w:tc>
      </w:tr>
      <w:tr>
        <w:tc>
          <w:tcPr>
            <w:tcW w:type="dxa" w:w="2880"/>
            <w:shd w:fill="EDF2F7"/>
            <w:tcMar>
              <w:top w:w="60" w:type="dxa"/>
              <w:bottom w:w="60" w:type="dxa"/>
              <w:left w:w="90" w:type="dxa"/>
              <w:right w:w="90" w:type="dxa"/>
            </w:tcMar>
          </w:tcPr>
          <w:p>
            <w:pPr>
              <w:spacing w:before="40" w:after="40"/>
            </w:pPr>
            <w:r>
              <w:rPr>
                <w:b/>
                <w:color w:val="1A365D"/>
              </w:rPr>
              <w:t>Datos de Entrada:</w:t>
            </w:r>
          </w:p>
        </w:tc>
        <w:tc>
          <w:tcPr>
            <w:tcW w:type="dxa" w:w="6480"/>
            <w:shd w:fill="F7FAFC"/>
            <w:tcMar>
              <w:top w:w="60" w:type="dxa"/>
              <w:bottom w:w="60" w:type="dxa"/>
              <w:left w:w="90" w:type="dxa"/>
              <w:right w:w="90" w:type="dxa"/>
            </w:tcMar>
          </w:tcPr>
          <w:p>
            <w:pPr>
              <w:spacing w:before="40" w:after="40"/>
            </w:pPr>
            <w:r>
              <w:t>Producto: 'Paleta de Mango', Stock Actual: 5 unidades, Cantidad Ingresada: 6 unidades.</w:t>
            </w:r>
          </w:p>
        </w:tc>
      </w:tr>
      <w:tr>
        <w:tc>
          <w:tcPr>
            <w:tcW w:type="dxa" w:w="2880"/>
            <w:shd w:fill="EDF2F7"/>
            <w:tcMar>
              <w:top w:w="60" w:type="dxa"/>
              <w:bottom w:w="60" w:type="dxa"/>
              <w:left w:w="90" w:type="dxa"/>
              <w:right w:w="90" w:type="dxa"/>
            </w:tcMar>
          </w:tcPr>
          <w:p>
            <w:pPr>
              <w:spacing w:before="40" w:after="40"/>
            </w:pPr>
            <w:r>
              <w:rPr>
                <w:b/>
                <w:color w:val="1A365D"/>
              </w:rPr>
              <w:t>Resultado Esperado:</w:t>
            </w:r>
          </w:p>
        </w:tc>
        <w:tc>
          <w:tcPr>
            <w:tcW w:type="dxa" w:w="6480"/>
            <w:shd w:fill="F7FAFC"/>
            <w:tcMar>
              <w:top w:w="60" w:type="dxa"/>
              <w:bottom w:w="60" w:type="dxa"/>
              <w:left w:w="90" w:type="dxa"/>
              <w:right w:w="90" w:type="dxa"/>
            </w:tcMar>
          </w:tcPr>
          <w:p>
            <w:pPr>
              <w:spacing w:before="40" w:after="40"/>
            </w:pPr>
            <w:r>
              <w:t>El sistema bloquea la acción, no genera registro de venta y muestra una alerta roja en pantalla: 'Cantidad excede el stock disponible (Máximo: 5)' o 'Stock insuficiente'.</w:t>
            </w:r>
          </w:p>
        </w:tc>
      </w:tr>
      <w:tr>
        <w:tc>
          <w:tcPr>
            <w:tcW w:type="dxa" w:w="2880"/>
            <w:shd w:fill="EDF2F7"/>
            <w:tcMar>
              <w:top w:w="60" w:type="dxa"/>
              <w:bottom w:w="60" w:type="dxa"/>
              <w:left w:w="90" w:type="dxa"/>
              <w:right w:w="90" w:type="dxa"/>
            </w:tcMar>
          </w:tcPr>
          <w:p>
            <w:pPr>
              <w:spacing w:before="40" w:after="40"/>
            </w:pPr>
            <w:r>
              <w:rPr>
                <w:b/>
                <w:color w:val="1A365D"/>
              </w:rPr>
              <w:t>Estado de la Prueba:</w:t>
            </w:r>
          </w:p>
        </w:tc>
        <w:tc>
          <w:tcPr>
            <w:tcW w:type="dxa" w:w="6480"/>
            <w:shd w:fill="F7FAFC"/>
            <w:tcMar>
              <w:top w:w="60" w:type="dxa"/>
              <w:bottom w:w="60" w:type="dxa"/>
              <w:left w:w="90" w:type="dxa"/>
              <w:right w:w="90" w:type="dxa"/>
            </w:tcMar>
          </w:tcPr>
          <w:p>
            <w:pPr>
              <w:spacing w:before="40" w:after="40"/>
            </w:pPr>
            <w:r>
              <w:rPr>
                <w:b/>
                <w:color w:val="276749"/>
              </w:rPr>
              <w:t>PASÓ (PASSED) — Bloqueo de transacción y alerta de validación visualizadas.</w:t>
            </w:r>
          </w:p>
        </w:tc>
      </w:tr>
    </w:tbl>
    <w:p>
      <w:pPr>
        <w:spacing w:after="120"/>
      </w:pPr>
    </w:p>
    <w:p>
      <w:pPr>
        <w:spacing w:before="0" w:after="100" w:line="276" w:lineRule="auto"/>
      </w:pPr>
      <w:r>
        <w:rPr>
          <w:b/>
          <w:color w:val="1A365D"/>
        </w:rPr>
        <w:t xml:space="preserve">Pasos Realizados: </w:t>
      </w:r>
      <w:r>
        <w:t>Procedimiento Detallado de Ejecución:</w:t>
      </w:r>
    </w:p>
    <w:p>
      <w:pPr>
        <w:spacing w:before="0" w:after="100" w:line="276" w:lineRule="auto"/>
      </w:pPr>
      <w:r>
        <w:t>1. Acceder al panel de Ventas en la aplicación Helarate.</w:t>
      </w:r>
    </w:p>
    <w:p>
      <w:pPr>
        <w:spacing w:before="0" w:after="100" w:line="276" w:lineRule="auto"/>
      </w:pPr>
      <w:r>
        <w:t>2. Identificar el producto 'Paleta de Mango' en el catálogo e inspeccionar su stock actual (Stock = 5 unidades).</w:t>
      </w:r>
    </w:p>
    <w:p>
      <w:pPr>
        <w:spacing w:before="0" w:after="100" w:line="276" w:lineRule="auto"/>
      </w:pPr>
      <w:r>
        <w:t>3. Abrir la ventana emergente de 'Registrar Venta'.</w:t>
      </w:r>
    </w:p>
    <w:p>
      <w:pPr>
        <w:spacing w:before="0" w:after="100" w:line="276" w:lineRule="auto"/>
      </w:pPr>
      <w:r>
        <w:t>4. Seleccionar 'Paleta de Mango (5 disp.)' en el campo desplegable de Producto.</w:t>
      </w:r>
    </w:p>
    <w:p>
      <w:pPr>
        <w:spacing w:before="0" w:after="100" w:line="276" w:lineRule="auto"/>
      </w:pPr>
      <w:r>
        <w:t>5. Modificar manualmente el campo de cantidad a 6 unidades (superando el límite de frontera por 1 unidad).</w:t>
      </w:r>
    </w:p>
    <w:p>
      <w:pPr>
        <w:spacing w:before="0" w:after="100" w:line="276" w:lineRule="auto"/>
      </w:pPr>
      <w:r>
        <w:t>6. Hacer clic en el botón 'Confirmar Venta' / 'Registrar venta'.</w:t>
      </w:r>
    </w:p>
    <w:p>
      <w:pPr>
        <w:spacing w:before="0" w:after="100" w:line="276" w:lineRule="auto"/>
      </w:pPr>
      <w:r>
        <w:t>7. Observar que el formulario no procesa la orden, la ventana permanece abierta y el sistema emite una alerta gráfica.</w:t>
      </w:r>
    </w:p>
    <w:p>
      <w:pPr>
        <w:keepNext/>
        <w:spacing w:before="280" w:after="80"/>
      </w:pPr>
      <w:r>
        <w:rPr>
          <w:b/>
          <w:color w:val="2B6CB0"/>
          <w:sz w:val="26"/>
        </w:rPr>
        <w:t>Evidencia Visual Requerida — Caso CN-02:</w:t>
      </w: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CN02-01: Verificación de Stock Límite en Catálogo</w:t>
              <w:br/>
            </w:r>
            <w:r>
              <w:rPr>
                <w:i/>
                <w:color w:val="4A5568"/>
                <w:sz w:val="20"/>
              </w:rPr>
              <w:t>Muestra el stock disponible del producto antes de intentar la venta excedente.</w:t>
            </w:r>
            <w:r>
              <w:br/>
              <w:br/>
              <w:t>📌 Elementos a resaltar o mostrar en la captura:</w:t>
              <w:br/>
            </w:r>
            <w:r>
              <w:t xml:space="preserve">  • Producto 'Paleta de Mango' seleccionado en la interfaz</w:t>
              <w:br/>
            </w:r>
            <w:r>
              <w:t xml:space="preserve">  • Etiqueta o indicador visible del stock actual disponible (5 unidades)</w:t>
              <w:br/>
            </w:r>
          </w:p>
          <w:p>
            <w:pPr>
              <w:spacing w:before="240" w:after="240"/>
              <w:jc w:val="center"/>
            </w:pPr>
            <w:r>
              <w:rPr>
                <w:b/>
                <w:color w:val="A0AEC0"/>
                <w:sz w:val="22"/>
              </w:rPr>
              <w:t>[ PEGAR / INSERTAR CAPTURA DE PANTALLA AQUÍ ]</w:t>
            </w:r>
          </w:p>
        </w:tc>
      </w:tr>
    </w:tbl>
    <w:p>
      <w:pPr>
        <w:spacing w:after="160"/>
      </w:pP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CN02-02: Ingreso de Cantidad Excedente en Formulario</w:t>
              <w:br/>
            </w:r>
            <w:r>
              <w:rPr>
                <w:i/>
                <w:color w:val="4A5568"/>
                <w:sz w:val="20"/>
              </w:rPr>
              <w:t>Muestra el campo de cantidad habiendo ingresado una cifra mayor al stock disponible.</w:t>
            </w:r>
            <w:r>
              <w:br/>
              <w:br/>
              <w:t>📌 Elementos a resaltar o mostrar en la captura:</w:t>
              <w:br/>
            </w:r>
            <w:r>
              <w:t xml:space="preserve">  • Campo 'Producto' fijado en 'Paleta de Mango'</w:t>
              <w:br/>
            </w:r>
            <w:r>
              <w:t xml:space="preserve">  • Campo 'Cantidad' editado a 6 (excede el stock disponible de 5)</w:t>
              <w:br/>
            </w:r>
            <w:r>
              <w:t xml:space="preserve">  • Puntero del mouse o foco sobre el botón 'Registrar venta'</w:t>
              <w:br/>
            </w:r>
          </w:p>
          <w:p>
            <w:pPr>
              <w:spacing w:before="240" w:after="240"/>
              <w:jc w:val="center"/>
            </w:pPr>
            <w:r>
              <w:rPr>
                <w:b/>
                <w:color w:val="A0AEC0"/>
                <w:sz w:val="22"/>
              </w:rPr>
              <w:t>[ PEGAR / INSERTAR CAPTURA DE PANTALLA AQUÍ ]</w:t>
            </w:r>
          </w:p>
        </w:tc>
      </w:tr>
    </w:tbl>
    <w:p>
      <w:pPr>
        <w:spacing w:after="160"/>
      </w:pP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CN02-03: Alerta Roja de Validación y Bloqueo de Venta</w:t>
              <w:br/>
            </w:r>
            <w:r>
              <w:rPr>
                <w:i/>
                <w:color w:val="4A5568"/>
                <w:sz w:val="20"/>
              </w:rPr>
              <w:t>Muestra la respuesta del sistema al intentar procesar la venta inválida.</w:t>
            </w:r>
            <w:r>
              <w:br/>
              <w:br/>
              <w:t>📌 Elementos a resaltar o mostrar en la captura:</w:t>
              <w:br/>
            </w:r>
            <w:r>
              <w:t xml:space="preserve">  • Notificación flotante (SnackBar) de color rojo con el texto 'Stock insuficiente' o 'Cantidad excede el stock disponible'</w:t>
              <w:br/>
            </w:r>
            <w:r>
              <w:t xml:space="preserve">  • Permanencia del formulario en pantalla sin cerrar ni haber grabado la venta en el historial</w:t>
              <w:br/>
            </w:r>
            <w:r>
              <w:t xml:space="preserve">  • Mantenimiento del stock en 5 unidades sin modificaciones en la base de datos</w:t>
              <w:br/>
            </w:r>
          </w:p>
          <w:p>
            <w:pPr>
              <w:spacing w:before="240" w:after="240"/>
              <w:jc w:val="center"/>
            </w:pPr>
            <w:r>
              <w:rPr>
                <w:b/>
                <w:color w:val="A0AEC0"/>
                <w:sz w:val="22"/>
              </w:rPr>
              <w:t>[ PEGAR / INSERTAR CAPTURA DE PANTALLA AQUÍ ]</w:t>
            </w:r>
          </w:p>
        </w:tc>
      </w:tr>
    </w:tbl>
    <w:p>
      <w:pPr>
        <w:spacing w:after="160"/>
      </w:pPr>
    </w:p>
    <w:p>
      <w:pPr>
        <w:keepNext/>
        <w:spacing w:before="280" w:after="80"/>
      </w:pPr>
      <w:r>
        <w:rPr>
          <w:b/>
          <w:color w:val="2B6CB0"/>
          <w:sz w:val="26"/>
        </w:rPr>
        <w:t>Caso de Prueba CN-03: Validación de Inicio de Sesión con Credenciales Inválidas</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4680"/>
        <w:gridCol w:w="4680"/>
      </w:tblGrid>
      <w:tr>
        <w:tc>
          <w:tcPr>
            <w:tcW w:type="dxa" w:w="2880"/>
            <w:shd w:fill="EDF2F7"/>
            <w:tcMar>
              <w:top w:w="60" w:type="dxa"/>
              <w:bottom w:w="60" w:type="dxa"/>
              <w:left w:w="90" w:type="dxa"/>
              <w:right w:w="90" w:type="dxa"/>
            </w:tcMar>
          </w:tcPr>
          <w:p>
            <w:pPr>
              <w:spacing w:before="40" w:after="40"/>
            </w:pPr>
            <w:r>
              <w:rPr>
                <w:b/>
                <w:color w:val="1A365D"/>
              </w:rPr>
              <w:t>Identificador:</w:t>
            </w:r>
          </w:p>
        </w:tc>
        <w:tc>
          <w:tcPr>
            <w:tcW w:type="dxa" w:w="6480"/>
            <w:shd w:fill="F7FAFC"/>
            <w:tcMar>
              <w:top w:w="60" w:type="dxa"/>
              <w:bottom w:w="60" w:type="dxa"/>
              <w:left w:w="90" w:type="dxa"/>
              <w:right w:w="90" w:type="dxa"/>
            </w:tcMar>
          </w:tcPr>
          <w:p>
            <w:pPr>
              <w:spacing w:before="40" w:after="40"/>
            </w:pPr>
            <w:r>
              <w:t>CN-03 │ Caja Negra (Seguridad / Autenticación UI)</w:t>
            </w:r>
          </w:p>
        </w:tc>
      </w:tr>
      <w:tr>
        <w:tc>
          <w:tcPr>
            <w:tcW w:type="dxa" w:w="2880"/>
            <w:shd w:fill="EDF2F7"/>
            <w:tcMar>
              <w:top w:w="60" w:type="dxa"/>
              <w:bottom w:w="60" w:type="dxa"/>
              <w:left w:w="90" w:type="dxa"/>
              <w:right w:w="90" w:type="dxa"/>
            </w:tcMar>
          </w:tcPr>
          <w:p>
            <w:pPr>
              <w:spacing w:before="40" w:after="40"/>
            </w:pPr>
            <w:r>
              <w:rPr>
                <w:b/>
                <w:color w:val="1A365D"/>
              </w:rPr>
              <w:t>Técnica / Método:</w:t>
            </w:r>
          </w:p>
        </w:tc>
        <w:tc>
          <w:tcPr>
            <w:tcW w:type="dxa" w:w="6480"/>
            <w:shd w:fill="F7FAFC"/>
            <w:tcMar>
              <w:top w:w="60" w:type="dxa"/>
              <w:bottom w:w="60" w:type="dxa"/>
              <w:left w:w="90" w:type="dxa"/>
              <w:right w:w="90" w:type="dxa"/>
            </w:tcMar>
          </w:tcPr>
          <w:p>
            <w:pPr>
              <w:spacing w:before="40" w:after="40"/>
            </w:pPr>
            <w:r>
              <w:t>Tabla de Decisión / Entradas Inválidas</w:t>
            </w:r>
          </w:p>
        </w:tc>
      </w:tr>
      <w:tr>
        <w:tc>
          <w:tcPr>
            <w:tcW w:type="dxa" w:w="2880"/>
            <w:shd w:fill="EDF2F7"/>
            <w:tcMar>
              <w:top w:w="60" w:type="dxa"/>
              <w:bottom w:w="60" w:type="dxa"/>
              <w:left w:w="90" w:type="dxa"/>
              <w:right w:w="90" w:type="dxa"/>
            </w:tcMar>
          </w:tcPr>
          <w:p>
            <w:pPr>
              <w:spacing w:before="40" w:after="40"/>
            </w:pPr>
            <w:r>
              <w:rPr>
                <w:b/>
                <w:color w:val="1A365D"/>
              </w:rPr>
              <w:t>Objetivo:</w:t>
            </w:r>
          </w:p>
        </w:tc>
        <w:tc>
          <w:tcPr>
            <w:tcW w:type="dxa" w:w="6480"/>
            <w:shd w:fill="F7FAFC"/>
            <w:tcMar>
              <w:top w:w="60" w:type="dxa"/>
              <w:bottom w:w="60" w:type="dxa"/>
              <w:left w:w="90" w:type="dxa"/>
              <w:right w:w="90" w:type="dxa"/>
            </w:tcMar>
          </w:tcPr>
          <w:p>
            <w:pPr>
              <w:spacing w:before="40" w:after="40"/>
            </w:pPr>
            <w:r>
              <w:t>Comprobar que el formulario de autenticación rechace accesos con correo o contraseña incorrectos y muestre retroalimentación clara sin exponer detalles internos.</w:t>
            </w:r>
          </w:p>
        </w:tc>
      </w:tr>
      <w:tr>
        <w:tc>
          <w:tcPr>
            <w:tcW w:type="dxa" w:w="2880"/>
            <w:shd w:fill="EDF2F7"/>
            <w:tcMar>
              <w:top w:w="60" w:type="dxa"/>
              <w:bottom w:w="60" w:type="dxa"/>
              <w:left w:w="90" w:type="dxa"/>
              <w:right w:w="90" w:type="dxa"/>
            </w:tcMar>
          </w:tcPr>
          <w:p>
            <w:pPr>
              <w:spacing w:before="40" w:after="40"/>
            </w:pPr>
            <w:r>
              <w:rPr>
                <w:b/>
                <w:color w:val="1A365D"/>
              </w:rPr>
              <w:t>Datos de Entrada:</w:t>
            </w:r>
          </w:p>
        </w:tc>
        <w:tc>
          <w:tcPr>
            <w:tcW w:type="dxa" w:w="6480"/>
            <w:shd w:fill="F7FAFC"/>
            <w:tcMar>
              <w:top w:w="60" w:type="dxa"/>
              <w:bottom w:w="60" w:type="dxa"/>
              <w:left w:w="90" w:type="dxa"/>
              <w:right w:w="90" w:type="dxa"/>
            </w:tcMar>
          </w:tcPr>
          <w:p>
            <w:pPr>
              <w:spacing w:before="40" w:after="40"/>
            </w:pPr>
            <w:r>
              <w:t>Correo: 'empleado_falso@helarate.com', Contraseña: 'password_erronea123'.</w:t>
            </w:r>
          </w:p>
        </w:tc>
      </w:tr>
      <w:tr>
        <w:tc>
          <w:tcPr>
            <w:tcW w:type="dxa" w:w="2880"/>
            <w:shd w:fill="EDF2F7"/>
            <w:tcMar>
              <w:top w:w="60" w:type="dxa"/>
              <w:bottom w:w="60" w:type="dxa"/>
              <w:left w:w="90" w:type="dxa"/>
              <w:right w:w="90" w:type="dxa"/>
            </w:tcMar>
          </w:tcPr>
          <w:p>
            <w:pPr>
              <w:spacing w:before="40" w:after="40"/>
            </w:pPr>
            <w:r>
              <w:rPr>
                <w:b/>
                <w:color w:val="1A365D"/>
              </w:rPr>
              <w:t>Resultado Esperado:</w:t>
            </w:r>
          </w:p>
        </w:tc>
        <w:tc>
          <w:tcPr>
            <w:tcW w:type="dxa" w:w="6480"/>
            <w:shd w:fill="F7FAFC"/>
            <w:tcMar>
              <w:top w:w="60" w:type="dxa"/>
              <w:bottom w:w="60" w:type="dxa"/>
              <w:left w:w="90" w:type="dxa"/>
              <w:right w:w="90" w:type="dxa"/>
            </w:tcMar>
          </w:tcPr>
          <w:p>
            <w:pPr>
              <w:spacing w:before="40" w:after="40"/>
            </w:pPr>
            <w:r>
              <w:t>El sistema permanece en la pantalla de login, no otorga token de sesión y muestra el mensaje de error: 'Credenciales inválidas. Verifique correo y contraseña'.</w:t>
            </w:r>
          </w:p>
        </w:tc>
      </w:tr>
      <w:tr>
        <w:tc>
          <w:tcPr>
            <w:tcW w:type="dxa" w:w="2880"/>
            <w:shd w:fill="EDF2F7"/>
            <w:tcMar>
              <w:top w:w="60" w:type="dxa"/>
              <w:bottom w:w="60" w:type="dxa"/>
              <w:left w:w="90" w:type="dxa"/>
              <w:right w:w="90" w:type="dxa"/>
            </w:tcMar>
          </w:tcPr>
          <w:p>
            <w:pPr>
              <w:spacing w:before="40" w:after="40"/>
            </w:pPr>
            <w:r>
              <w:rPr>
                <w:b/>
                <w:color w:val="1A365D"/>
              </w:rPr>
              <w:t>Estado de la Prueba:</w:t>
            </w:r>
          </w:p>
        </w:tc>
        <w:tc>
          <w:tcPr>
            <w:tcW w:type="dxa" w:w="6480"/>
            <w:shd w:fill="F7FAFC"/>
            <w:tcMar>
              <w:top w:w="60" w:type="dxa"/>
              <w:bottom w:w="60" w:type="dxa"/>
              <w:left w:w="90" w:type="dxa"/>
              <w:right w:w="90" w:type="dxa"/>
            </w:tcMar>
          </w:tcPr>
          <w:p>
            <w:pPr>
              <w:spacing w:before="40" w:after="40"/>
            </w:pPr>
            <w:r>
              <w:rPr>
                <w:b/>
                <w:color w:val="276749"/>
              </w:rPr>
              <w:t>PASÓ (PASSED) — Denegación de acceso y mensaje de error de autenticación validados.</w:t>
            </w:r>
          </w:p>
        </w:tc>
      </w:tr>
    </w:tbl>
    <w:p>
      <w:pPr>
        <w:spacing w:after="120"/>
      </w:pPr>
    </w:p>
    <w:p>
      <w:pPr>
        <w:spacing w:before="0" w:after="100" w:line="276" w:lineRule="auto"/>
      </w:pPr>
      <w:r>
        <w:rPr>
          <w:b/>
          <w:color w:val="1A365D"/>
        </w:rPr>
        <w:t xml:space="preserve">Pasos Realizados: </w:t>
      </w:r>
      <w:r>
        <w:t>Procedimiento Detallado de Ejecución:</w:t>
      </w:r>
    </w:p>
    <w:p>
      <w:pPr>
        <w:spacing w:before="0" w:after="100" w:line="276" w:lineRule="auto"/>
      </w:pPr>
      <w:r>
        <w:t>1. Abrir la página principal de Login del sistema en la dirección https://helarate-origin.vercel.app/#/login.</w:t>
      </w:r>
    </w:p>
    <w:p>
      <w:pPr>
        <w:spacing w:before="0" w:after="100" w:line="276" w:lineRule="auto"/>
      </w:pPr>
      <w:r>
        <w:t>2. En el campo de entrada 'Correo Electrónico', escribir el correo no registrado: empleado_falso@helarate.com.</w:t>
      </w:r>
    </w:p>
    <w:p>
      <w:pPr>
        <w:spacing w:before="0" w:after="100" w:line="276" w:lineRule="auto"/>
      </w:pPr>
      <w:r>
        <w:t>3. En el campo de entrada 'Contraseña', escribir la contraseña errónea: password_erronea123.</w:t>
      </w:r>
    </w:p>
    <w:p>
      <w:pPr>
        <w:spacing w:before="0" w:after="100" w:line="276" w:lineRule="auto"/>
      </w:pPr>
      <w:r>
        <w:t>4. Hacer clic en el botón 'Iniciar Sesión'.</w:t>
      </w:r>
    </w:p>
    <w:p>
      <w:pPr>
        <w:spacing w:before="0" w:after="100" w:line="276" w:lineRule="auto"/>
      </w:pPr>
      <w:r>
        <w:t>5. Si se despliega la ventana modal de 'Aviso de Privacidad', presionar el botón 'Aceptar y continuar' para permitir el envío del formulario.</w:t>
      </w:r>
    </w:p>
    <w:p>
      <w:pPr>
        <w:spacing w:before="0" w:after="100" w:line="276" w:lineRule="auto"/>
      </w:pPr>
      <w:r>
        <w:t>6. Evaluar la respuesta del cliente Flutter Web frente al rechazo de autenticación del servicio Supabase Auth.</w:t>
      </w:r>
    </w:p>
    <w:p>
      <w:pPr>
        <w:spacing w:before="0" w:after="100" w:line="276" w:lineRule="auto"/>
      </w:pPr>
      <w:r>
        <w:t>7. Confirmar que la pantalla no redirige a /dashboard ni otorga token JWT en almacenamiento local.</w:t>
      </w:r>
    </w:p>
    <w:p>
      <w:pPr>
        <w:keepNext/>
        <w:spacing w:before="280" w:after="80"/>
      </w:pPr>
      <w:r>
        <w:rPr>
          <w:b/>
          <w:color w:val="2B6CB0"/>
          <w:sz w:val="26"/>
        </w:rPr>
        <w:t>Evidencia Visual Requerida — Caso CN-03:</w:t>
      </w: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CN03-01: Formulario de Login con Credenciales Erróneas</w:t>
              <w:br/>
            </w:r>
            <w:r>
              <w:rPr>
                <w:i/>
                <w:color w:val="4A5568"/>
                <w:sz w:val="20"/>
              </w:rPr>
              <w:t>Muestra la pantalla de inicio de sesión con los datos de prueba ingresados.</w:t>
            </w:r>
            <w:r>
              <w:br/>
              <w:br/>
              <w:t>📌 Elementos a resaltar o mostrar en la captura:</w:t>
              <w:br/>
            </w:r>
            <w:r>
              <w:t xml:space="preserve">  • Campo 'Correo Electrónico' con empleado_falso@helarate.com</w:t>
              <w:br/>
            </w:r>
            <w:r>
              <w:t xml:space="preserve">  • Campo 'Contraseña' con valor enmascarado (password_erronea123)</w:t>
              <w:br/>
            </w:r>
            <w:r>
              <w:t xml:space="preserve">  • Botón 'Iniciar Sesión' habilitado</w:t>
              <w:br/>
            </w:r>
          </w:p>
          <w:p>
            <w:pPr>
              <w:spacing w:before="240" w:after="240"/>
              <w:jc w:val="center"/>
            </w:pPr>
            <w:r>
              <w:rPr>
                <w:b/>
                <w:color w:val="A0AEC0"/>
                <w:sz w:val="22"/>
              </w:rPr>
              <w:t>[ PEGAR / INSERTAR CAPTURA DE PANTALLA AQUÍ ]</w:t>
            </w:r>
          </w:p>
        </w:tc>
      </w:tr>
    </w:tbl>
    <w:p>
      <w:pPr>
        <w:spacing w:after="160"/>
      </w:pP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CN03-02: Modal de Aviso de Privacidad Aceptado (Flujo de Formulario)</w:t>
              <w:br/>
            </w:r>
            <w:r>
              <w:rPr>
                <w:i/>
                <w:color w:val="4A5568"/>
                <w:sz w:val="20"/>
              </w:rPr>
              <w:t>Muestra la ventana emergente de cumplimiento normativo previa a la autenticación.</w:t>
            </w:r>
            <w:r>
              <w:br/>
              <w:br/>
              <w:t>📌 Elementos a resaltar o mostrar en la captura:</w:t>
              <w:br/>
            </w:r>
            <w:r>
              <w:t xml:space="preserve">  • Modal de 'Aviso de Privacidad Simplificado / Integral'</w:t>
              <w:br/>
            </w:r>
            <w:r>
              <w:t xml:space="preserve">  • Botón 'Aceptar y continuar' seleccionado para disparar el evento SignInRequested</w:t>
              <w:br/>
            </w:r>
          </w:p>
          <w:p>
            <w:pPr>
              <w:spacing w:before="240" w:after="240"/>
              <w:jc w:val="center"/>
            </w:pPr>
            <w:r>
              <w:rPr>
                <w:b/>
                <w:color w:val="A0AEC0"/>
                <w:sz w:val="22"/>
              </w:rPr>
              <w:t>[ PEGAR / INSERTAR CAPTURA DE PANTALLA AQUÍ ]</w:t>
            </w:r>
          </w:p>
        </w:tc>
      </w:tr>
    </w:tbl>
    <w:p>
      <w:pPr>
        <w:spacing w:after="160"/>
      </w:pPr>
    </w:p>
    <w:tbl>
      <w:tblPr>
        <w:tblW w:type="auto" w:w="0"/>
        <w:jc w:val="center"/>
        <w:tblLook w:firstColumn="1" w:firstRow="1" w:lastColumn="0" w:lastRow="0" w:noHBand="0" w:noVBand="1" w:val="04A0"/>
        <w:tblBorders>
          <w:top w:val="single" w:sz="6" w:space="0" w:color="2B6CB0"/>
          <w:left w:val="single" w:sz="36" w:space="0" w:color="1A365D"/>
          <w:bottom w:val="single" w:sz="6" w:space="0" w:color="2B6CB0"/>
          <w:right w:val="single" w:sz="6" w:space="0" w:color="2B6CB0"/>
        </w:tblBorders>
      </w:tblPr>
      <w:tblGrid>
        <w:gridCol w:w="9360"/>
      </w:tblGrid>
      <w:tr>
        <w:tc>
          <w:tcPr>
            <w:tcW w:type="dxa" w:w="9360"/>
            <w:shd w:fill="F0F4F8"/>
            <w:tcMar>
              <w:top w:w="140" w:type="dxa"/>
              <w:bottom w:w="140" w:type="dxa"/>
              <w:left w:w="180" w:type="dxa"/>
              <w:right w:w="180" w:type="dxa"/>
            </w:tcMar>
          </w:tcPr>
          <w:p>
            <w:pPr>
              <w:spacing w:before="40" w:after="80"/>
            </w:pPr>
            <w:r>
              <w:rPr>
                <w:b/>
                <w:color w:val="1A365D"/>
                <w:sz w:val="22"/>
              </w:rPr>
              <w:t>📷 CAPTURA DE EVIDENCIA CN03-03: Rechazo de Autenticación y SnackBar de Error</w:t>
              <w:br/>
            </w:r>
            <w:r>
              <w:rPr>
                <w:i/>
                <w:color w:val="4A5568"/>
                <w:sz w:val="20"/>
              </w:rPr>
              <w:t>Muestra el bloqueo de la sesión y la alerta visual presentada al usuario.</w:t>
            </w:r>
            <w:r>
              <w:br/>
              <w:br/>
              <w:t>📌 Elementos a resaltar o mostrar en la captura:</w:t>
              <w:br/>
            </w:r>
            <w:r>
              <w:t xml:space="preserve">  • Notificación flotante inferior (SnackBar rojo) con el mensaje de error: 'Invalid login credentials' o 'Credenciales inválidas'</w:t>
              <w:br/>
            </w:r>
            <w:r>
              <w:t xml:space="preserve">  • Permanencia en la pantalla de Login sin redirección</w:t>
              <w:br/>
            </w:r>
            <w:r>
              <w:t xml:space="preserve">  • Ausencia de datos de usuario en la aplicación</w:t>
              <w:br/>
            </w:r>
          </w:p>
          <w:p>
            <w:pPr>
              <w:spacing w:before="240" w:after="240"/>
              <w:jc w:val="center"/>
            </w:pPr>
            <w:r>
              <w:rPr>
                <w:b/>
                <w:color w:val="A0AEC0"/>
                <w:sz w:val="22"/>
              </w:rPr>
              <w:t>[ PEGAR / INSERTAR CAPTURA DE PANTALLA AQUÍ ]</w:t>
            </w:r>
          </w:p>
        </w:tc>
      </w:tr>
    </w:tbl>
    <w:p>
      <w:pPr>
        <w:spacing w:after="160"/>
      </w:pPr>
    </w:p>
    <w:p>
      <w:pPr>
        <w:keepNext/>
        <w:spacing w:before="320" w:after="120"/>
      </w:pPr>
      <w:r>
        <w:rPr>
          <w:b/>
          <w:color w:val="1A365D"/>
          <w:sz w:val="30"/>
        </w:rPr>
        <w:t>3. Matriz de Resultados y Conclusiones de las Pruebas</w:t>
      </w:r>
    </w:p>
    <w:p>
      <w:pPr>
        <w:spacing w:before="0" w:after="100" w:line="276" w:lineRule="auto"/>
      </w:pPr>
      <w:r>
        <w:t>A continuación se sintetiza la matriz de resultados obtenida durante la sesión de pruebas de Caja Negra:</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1872"/>
        <w:gridCol w:w="1872"/>
        <w:gridCol w:w="1872"/>
        <w:gridCol w:w="1872"/>
        <w:gridCol w:w="1872"/>
      </w:tblGrid>
      <w:tr>
        <w:tc>
          <w:tcPr>
            <w:tcW w:type="dxa" w:w="1872"/>
            <w:shd w:fill="1A365D"/>
          </w:tcPr>
          <w:p>
            <w:pPr>
              <w:spacing w:before="80" w:after="80"/>
            </w:pPr>
            <w:r>
              <w:rPr>
                <w:b/>
                <w:color w:val="FFFFFF"/>
              </w:rPr>
              <w:t>ID</w:t>
            </w:r>
          </w:p>
        </w:tc>
        <w:tc>
          <w:tcPr>
            <w:tcW w:type="dxa" w:w="1872"/>
            <w:shd w:fill="1A365D"/>
          </w:tcPr>
          <w:p>
            <w:pPr>
              <w:spacing w:before="80" w:after="80"/>
            </w:pPr>
            <w:r>
              <w:rPr>
                <w:b/>
                <w:color w:val="FFFFFF"/>
              </w:rPr>
              <w:t>Caso de Prueba</w:t>
            </w:r>
          </w:p>
        </w:tc>
        <w:tc>
          <w:tcPr>
            <w:tcW w:type="dxa" w:w="1872"/>
            <w:shd w:fill="1A365D"/>
          </w:tcPr>
          <w:p>
            <w:pPr>
              <w:spacing w:before="80" w:after="80"/>
            </w:pPr>
            <w:r>
              <w:rPr>
                <w:b/>
                <w:color w:val="FFFFFF"/>
              </w:rPr>
              <w:t>Tipo</w:t>
            </w:r>
          </w:p>
        </w:tc>
        <w:tc>
          <w:tcPr>
            <w:tcW w:type="dxa" w:w="1872"/>
            <w:shd w:fill="1A365D"/>
          </w:tcPr>
          <w:p>
            <w:pPr>
              <w:spacing w:before="80" w:after="80"/>
            </w:pPr>
            <w:r>
              <w:rPr>
                <w:b/>
                <w:color w:val="FFFFFF"/>
              </w:rPr>
              <w:t>Resultado Esperado</w:t>
            </w:r>
          </w:p>
        </w:tc>
        <w:tc>
          <w:tcPr>
            <w:tcW w:type="dxa" w:w="1872"/>
            <w:shd w:fill="1A365D"/>
          </w:tcPr>
          <w:p>
            <w:pPr>
              <w:spacing w:before="80" w:after="80"/>
            </w:pPr>
            <w:r>
              <w:rPr>
                <w:b/>
                <w:color w:val="FFFFFF"/>
              </w:rPr>
              <w:t>Estado</w:t>
            </w:r>
          </w:p>
        </w:tc>
      </w:tr>
      <w:tr>
        <w:tc>
          <w:tcPr>
            <w:tcW w:type="dxa" w:w="1152"/>
            <w:shd w:fill="F7FAFC"/>
            <w:tcMar>
              <w:top w:w="60" w:type="dxa"/>
              <w:bottom w:w="60" w:type="dxa"/>
              <w:left w:w="60" w:type="dxa"/>
              <w:right w:w="60" w:type="dxa"/>
            </w:tcMar>
          </w:tcPr>
          <w:p>
            <w:pPr>
              <w:spacing w:before="40" w:after="40"/>
            </w:pPr>
            <w:r>
              <w:t>CN-01</w:t>
            </w:r>
          </w:p>
        </w:tc>
        <w:tc>
          <w:tcPr>
            <w:tcW w:type="dxa" w:w="2592"/>
            <w:shd w:fill="F7FAFC"/>
            <w:tcMar>
              <w:top w:w="60" w:type="dxa"/>
              <w:bottom w:w="60" w:type="dxa"/>
              <w:left w:w="60" w:type="dxa"/>
              <w:right w:w="60" w:type="dxa"/>
            </w:tcMar>
          </w:tcPr>
          <w:p>
            <w:pPr>
              <w:spacing w:before="40" w:after="40"/>
            </w:pPr>
            <w:r>
              <w:t>Registro Exitoso de Venta</w:t>
            </w:r>
          </w:p>
        </w:tc>
        <w:tc>
          <w:tcPr>
            <w:tcW w:type="dxa" w:w="1728"/>
            <w:shd w:fill="F7FAFC"/>
            <w:tcMar>
              <w:top w:w="60" w:type="dxa"/>
              <w:bottom w:w="60" w:type="dxa"/>
              <w:left w:w="60" w:type="dxa"/>
              <w:right w:w="60" w:type="dxa"/>
            </w:tcMar>
          </w:tcPr>
          <w:p>
            <w:pPr>
              <w:spacing w:before="40" w:after="40"/>
            </w:pPr>
            <w:r>
              <w:t>Funcional / E2E</w:t>
            </w:r>
          </w:p>
        </w:tc>
        <w:tc>
          <w:tcPr>
            <w:tcW w:type="dxa" w:w="2880"/>
            <w:shd w:fill="F7FAFC"/>
            <w:tcMar>
              <w:top w:w="60" w:type="dxa"/>
              <w:bottom w:w="60" w:type="dxa"/>
              <w:left w:w="60" w:type="dxa"/>
              <w:right w:w="60" w:type="dxa"/>
            </w:tcMar>
          </w:tcPr>
          <w:p>
            <w:pPr>
              <w:spacing w:before="40" w:after="40"/>
            </w:pPr>
            <w:r>
              <w:t>Venta procesada, stock visual -2 pzs.</w:t>
            </w:r>
          </w:p>
        </w:tc>
        <w:tc>
          <w:tcPr>
            <w:tcW w:type="dxa" w:w="1008"/>
            <w:shd w:fill="F7FAFC"/>
            <w:tcMar>
              <w:top w:w="60" w:type="dxa"/>
              <w:bottom w:w="60" w:type="dxa"/>
              <w:left w:w="60" w:type="dxa"/>
              <w:right w:w="60" w:type="dxa"/>
            </w:tcMar>
          </w:tcPr>
          <w:p>
            <w:pPr>
              <w:spacing w:before="40" w:after="40"/>
            </w:pPr>
            <w:r>
              <w:rPr>
                <w:b/>
                <w:color w:val="276749"/>
              </w:rPr>
              <w:t>PASÓ</w:t>
            </w:r>
          </w:p>
        </w:tc>
      </w:tr>
      <w:tr>
        <w:tc>
          <w:tcPr>
            <w:tcW w:type="dxa" w:w="1152"/>
            <w:shd w:fill="FFFFFF"/>
            <w:tcMar>
              <w:top w:w="60" w:type="dxa"/>
              <w:bottom w:w="60" w:type="dxa"/>
              <w:left w:w="60" w:type="dxa"/>
              <w:right w:w="60" w:type="dxa"/>
            </w:tcMar>
          </w:tcPr>
          <w:p>
            <w:pPr>
              <w:spacing w:before="40" w:after="40"/>
            </w:pPr>
            <w:r>
              <w:t>CN-02</w:t>
            </w:r>
          </w:p>
        </w:tc>
        <w:tc>
          <w:tcPr>
            <w:tcW w:type="dxa" w:w="2592"/>
            <w:shd w:fill="FFFFFF"/>
            <w:tcMar>
              <w:top w:w="60" w:type="dxa"/>
              <w:bottom w:w="60" w:type="dxa"/>
              <w:left w:w="60" w:type="dxa"/>
              <w:right w:w="60" w:type="dxa"/>
            </w:tcMar>
          </w:tcPr>
          <w:p>
            <w:pPr>
              <w:spacing w:before="40" w:after="40"/>
            </w:pPr>
            <w:r>
              <w:t>Venta Excedente a Stock</w:t>
            </w:r>
          </w:p>
        </w:tc>
        <w:tc>
          <w:tcPr>
            <w:tcW w:type="dxa" w:w="1728"/>
            <w:shd w:fill="FFFFFF"/>
            <w:tcMar>
              <w:top w:w="60" w:type="dxa"/>
              <w:bottom w:w="60" w:type="dxa"/>
              <w:left w:w="60" w:type="dxa"/>
              <w:right w:w="60" w:type="dxa"/>
            </w:tcMar>
          </w:tcPr>
          <w:p>
            <w:pPr>
              <w:spacing w:before="40" w:after="40"/>
            </w:pPr>
            <w:r>
              <w:t>Frontera / Limite</w:t>
            </w:r>
          </w:p>
        </w:tc>
        <w:tc>
          <w:tcPr>
            <w:tcW w:type="dxa" w:w="2880"/>
            <w:shd w:fill="FFFFFF"/>
            <w:tcMar>
              <w:top w:w="60" w:type="dxa"/>
              <w:bottom w:w="60" w:type="dxa"/>
              <w:left w:w="60" w:type="dxa"/>
              <w:right w:w="60" w:type="dxa"/>
            </w:tcMar>
          </w:tcPr>
          <w:p>
            <w:pPr>
              <w:spacing w:before="40" w:after="40"/>
            </w:pPr>
            <w:r>
              <w:t>Bloqueo de venta y alerta de stock insuficiente.</w:t>
            </w:r>
          </w:p>
        </w:tc>
        <w:tc>
          <w:tcPr>
            <w:tcW w:type="dxa" w:w="1008"/>
            <w:shd w:fill="FFFFFF"/>
            <w:tcMar>
              <w:top w:w="60" w:type="dxa"/>
              <w:bottom w:w="60" w:type="dxa"/>
              <w:left w:w="60" w:type="dxa"/>
              <w:right w:w="60" w:type="dxa"/>
            </w:tcMar>
          </w:tcPr>
          <w:p>
            <w:pPr>
              <w:spacing w:before="40" w:after="40"/>
            </w:pPr>
            <w:r>
              <w:rPr>
                <w:b/>
                <w:color w:val="276749"/>
              </w:rPr>
              <w:t>PASÓ</w:t>
            </w:r>
          </w:p>
        </w:tc>
      </w:tr>
      <w:tr>
        <w:tc>
          <w:tcPr>
            <w:tcW w:type="dxa" w:w="1152"/>
            <w:shd w:fill="F7FAFC"/>
            <w:tcMar>
              <w:top w:w="60" w:type="dxa"/>
              <w:bottom w:w="60" w:type="dxa"/>
              <w:left w:w="60" w:type="dxa"/>
              <w:right w:w="60" w:type="dxa"/>
            </w:tcMar>
          </w:tcPr>
          <w:p>
            <w:pPr>
              <w:spacing w:before="40" w:after="40"/>
            </w:pPr>
            <w:r>
              <w:t>CN-03</w:t>
            </w:r>
          </w:p>
        </w:tc>
        <w:tc>
          <w:tcPr>
            <w:tcW w:type="dxa" w:w="2592"/>
            <w:shd w:fill="F7FAFC"/>
            <w:tcMar>
              <w:top w:w="60" w:type="dxa"/>
              <w:bottom w:w="60" w:type="dxa"/>
              <w:left w:w="60" w:type="dxa"/>
              <w:right w:w="60" w:type="dxa"/>
            </w:tcMar>
          </w:tcPr>
          <w:p>
            <w:pPr>
              <w:spacing w:before="40" w:after="40"/>
            </w:pPr>
            <w:r>
              <w:t>Login Credenciales Inválidas</w:t>
            </w:r>
          </w:p>
        </w:tc>
        <w:tc>
          <w:tcPr>
            <w:tcW w:type="dxa" w:w="1728"/>
            <w:shd w:fill="F7FAFC"/>
            <w:tcMar>
              <w:top w:w="60" w:type="dxa"/>
              <w:bottom w:w="60" w:type="dxa"/>
              <w:left w:w="60" w:type="dxa"/>
              <w:right w:w="60" w:type="dxa"/>
            </w:tcMar>
          </w:tcPr>
          <w:p>
            <w:pPr>
              <w:spacing w:before="40" w:after="40"/>
            </w:pPr>
            <w:r>
              <w:t>Seguridad UI</w:t>
            </w:r>
          </w:p>
        </w:tc>
        <w:tc>
          <w:tcPr>
            <w:tcW w:type="dxa" w:w="2880"/>
            <w:shd w:fill="F7FAFC"/>
            <w:tcMar>
              <w:top w:w="60" w:type="dxa"/>
              <w:bottom w:w="60" w:type="dxa"/>
              <w:left w:w="60" w:type="dxa"/>
              <w:right w:w="60" w:type="dxa"/>
            </w:tcMar>
          </w:tcPr>
          <w:p>
            <w:pPr>
              <w:spacing w:before="40" w:after="40"/>
            </w:pPr>
            <w:r>
              <w:t>Permanencia en Login y alerta de credenciales inválidas.</w:t>
            </w:r>
          </w:p>
        </w:tc>
        <w:tc>
          <w:tcPr>
            <w:tcW w:type="dxa" w:w="1008"/>
            <w:shd w:fill="F7FAFC"/>
            <w:tcMar>
              <w:top w:w="60" w:type="dxa"/>
              <w:bottom w:w="60" w:type="dxa"/>
              <w:left w:w="60" w:type="dxa"/>
              <w:right w:w="60" w:type="dxa"/>
            </w:tcMar>
          </w:tcPr>
          <w:p>
            <w:pPr>
              <w:spacing w:before="40" w:after="40"/>
            </w:pPr>
            <w:r>
              <w:rPr>
                <w:b/>
                <w:color w:val="276749"/>
              </w:rPr>
              <w:t>PASÓ</w:t>
            </w:r>
          </w:p>
        </w:tc>
      </w:tr>
    </w:tbl>
    <w:p>
      <w:pPr>
        <w:spacing w:after="240"/>
      </w:pPr>
    </w:p>
    <w:p>
      <w:pPr>
        <w:spacing w:before="0" w:after="100" w:line="276" w:lineRule="auto"/>
      </w:pPr>
      <w:r>
        <w:t>Conclusión: Las pruebas de Caja Negra demostraron que la aplicación Helarate cumple con las reglas de negocio fundamentales para la venta y control de inventarios, manteniendo la integridad de los datos y ofreciendo una retroalimentación clara al usuario ante condiciones de error o límites de stock.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