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6"/>
          <w:szCs w:val="36"/>
        </w:rPr>
        <w:t xml:space="preserve">Carta de Entrega de Proyecto</w:t>
      </w:r>
    </w:p>
    <w:p>
      <w:pPr>
        <w:spacing w:after="300"/>
        <w:jc w:val="center"/>
      </w:pPr>
      <w:r>
        <w:rPr>
          <w:rFonts w:ascii="Calibri" w:cs="Calibri" w:eastAsia="Calibri" w:hAnsi="Calibri"/>
          <w:i/>
          <w:iCs/>
          <w:color w:val="444444"/>
          <w:sz w:val="24"/>
          <w:szCs w:val="24"/>
        </w:rPr>
        <w:t xml:space="preserve">Integración de Arquitectura Hikvision / Humand / Intelisis ERP</w:t>
      </w:r>
    </w:p>
    <w:p>
      <w:pPr>
        <w:spacing w:after="120" w:line="276"/>
      </w:pPr>
      <w:r>
        <w:rPr>
          <w:rFonts w:ascii="Calibri" w:cs="Calibri" w:eastAsia="Calibri" w:hAnsi="Calibri"/>
          <w:i/>
          <w:iCs/>
          <w:sz w:val="22"/>
          <w:szCs w:val="22"/>
        </w:rPr>
        <w:t xml:space="preserve">Ciudad de México, a 9 de septiembre de 2026</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Por medio de la presente se hace entrega de la documentación técnica y funcional correspondiente al flujo de procesamiento de registros de asistencia (checadas) capturados en los relojes checadores Hikvision, su sincronización hacia la plataforma Humand y su posterior integración a la base de datos de nómina de Intelisis ERP, mediante procesos ETL desarrollados en Python que consumen las APIs correspondientes.</w:t>
      </w:r>
    </w:p>
    <w:p>
      <w:pPr>
        <w:spacing w:after="120" w:line="276"/>
      </w:pPr>
      <w:r>
        <w:rPr>
          <w:rFonts w:ascii="Calibri" w:cs="Calibri" w:eastAsia="Calibri" w:hAnsi="Calibri"/>
          <w:sz w:val="22"/>
          <w:szCs w:val="22"/>
        </w:rPr>
        <w:t xml:space="preserve">El objetivo de este documento es dejar constancia formal del funcionamiento de la arquitectura implementada, los componentes de hardware y software involucrados, el flujo de comunicación entre sistemas, y los scripts ETL responsables de cada etapa de sincronización, a fin de servir como referencia para la operación, soporte y mantenimiento futuro del proceso.</w:t>
      </w:r>
    </w:p>
    <w:p>
      <w:pPr>
        <w:pStyle w:val="Heading1"/>
        <w:pBdr>
          <w:bottom w:val="single" w:color="1F4E79" w:sz="6" w:space="4"/>
        </w:pBdr>
        <w:spacing w:after="150" w:before="300"/>
      </w:pPr>
      <w:r>
        <w:rPr>
          <w:rFonts w:ascii="Calibri" w:cs="Calibri" w:eastAsia="Calibri" w:hAnsi="Calibri"/>
          <w:b/>
          <w:bCs/>
          <w:color w:val="1F4E79"/>
          <w:sz w:val="26"/>
          <w:szCs w:val="26"/>
        </w:rPr>
        <w:t xml:space="preserve">1. Alcance del proyecto</w:t>
      </w:r>
    </w:p>
    <w:p>
      <w:pPr>
        <w:spacing w:after="120" w:line="276"/>
      </w:pPr>
      <w:r>
        <w:rPr>
          <w:rFonts w:ascii="Calibri" w:cs="Calibri" w:eastAsia="Calibri" w:hAnsi="Calibri"/>
          <w:sz w:val="22"/>
          <w:szCs w:val="22"/>
        </w:rPr>
        <w:t xml:space="preserve">El proyecto comprende la automatización del flujo de información de asistencia del personal, desde su captura física o remota, pasando por su normalización en la plataforma Humand, hasta su incorporación final como incidencias de nómina dentro de Intelisis ERP, eliminando la captura manual y reduciendo el margen de error humano en el cálculo de nómina.</w:t>
      </w:r>
    </w:p>
    <w:p>
      <w:pPr>
        <w:pStyle w:val="Heading1"/>
        <w:pBdr>
          <w:bottom w:val="single" w:color="1F4E79" w:sz="6" w:space="4"/>
        </w:pBdr>
        <w:spacing w:after="150" w:before="300"/>
      </w:pPr>
      <w:r>
        <w:rPr>
          <w:rFonts w:ascii="Calibri" w:cs="Calibri" w:eastAsia="Calibri" w:hAnsi="Calibri"/>
          <w:b/>
          <w:bCs/>
          <w:color w:val="1F4E79"/>
          <w:sz w:val="26"/>
          <w:szCs w:val="26"/>
        </w:rPr>
        <w:t xml:space="preserve">2. Componentes de Hardware</w:t>
      </w:r>
    </w:p>
    <w:p>
      <w:pPr>
        <w:pStyle w:val="Heading2"/>
        <w:spacing w:after="100" w:before="220"/>
      </w:pPr>
      <w:r>
        <w:rPr>
          <w:rFonts w:ascii="Calibri" w:cs="Calibri" w:eastAsia="Calibri" w:hAnsi="Calibri"/>
          <w:b/>
          <w:bCs/>
          <w:color w:val="1F4E79"/>
          <w:sz w:val="22"/>
          <w:szCs w:val="22"/>
        </w:rPr>
        <w:t xml:space="preserve">2.1 Relojes checadores (Hikvision)</w:t>
      </w:r>
    </w:p>
    <w:p>
      <w:pPr>
        <w:spacing w:after="120" w:line="276"/>
      </w:pPr>
      <w:r>
        <w:rPr>
          <w:rFonts w:ascii="Calibri" w:cs="Calibri" w:eastAsia="Calibri" w:hAnsi="Calibri"/>
          <w:sz w:val="22"/>
          <w:szCs w:val="22"/>
        </w:rPr>
        <w:t xml:space="preserve">Ubicaciones físicas con dispositivos checadores instalados:</w:t>
      </w:r>
    </w:p>
    <w:p>
      <w:pPr>
        <w:pStyle w:val="ListParagraph"/>
        <w:numPr>
          <w:ilvl w:val="0"/>
          <w:numId w:val="2"/>
        </w:numPr>
        <w:spacing w:after="60"/>
      </w:pPr>
      <w:r>
        <w:rPr>
          <w:rFonts w:ascii="Calibri" w:cs="Calibri" w:eastAsia="Calibri" w:hAnsi="Calibri"/>
          <w:sz w:val="22"/>
          <w:szCs w:val="22"/>
        </w:rPr>
        <w:t xml:space="preserve">Texcoco</w:t>
      </w:r>
    </w:p>
    <w:p>
      <w:pPr>
        <w:pStyle w:val="ListParagraph"/>
        <w:numPr>
          <w:ilvl w:val="0"/>
          <w:numId w:val="2"/>
        </w:numPr>
        <w:spacing w:after="60"/>
      </w:pPr>
      <w:r>
        <w:rPr>
          <w:rFonts w:ascii="Calibri" w:cs="Calibri" w:eastAsia="Calibri" w:hAnsi="Calibri"/>
          <w:sz w:val="22"/>
          <w:szCs w:val="22"/>
        </w:rPr>
        <w:t xml:space="preserve">Corpo</w:t>
      </w:r>
    </w:p>
    <w:p>
      <w:pPr>
        <w:pStyle w:val="ListParagraph"/>
        <w:numPr>
          <w:ilvl w:val="0"/>
          <w:numId w:val="2"/>
        </w:numPr>
        <w:spacing w:after="60"/>
      </w:pPr>
      <w:r>
        <w:rPr>
          <w:rFonts w:ascii="Calibri" w:cs="Calibri" w:eastAsia="Calibri" w:hAnsi="Calibri"/>
          <w:sz w:val="22"/>
          <w:szCs w:val="22"/>
        </w:rPr>
        <w:t xml:space="preserve">Monterrey (Mty)</w:t>
      </w:r>
    </w:p>
    <w:p>
      <w:pPr>
        <w:pStyle w:val="ListParagraph"/>
        <w:numPr>
          <w:ilvl w:val="0"/>
          <w:numId w:val="2"/>
        </w:numPr>
        <w:spacing w:after="60"/>
      </w:pPr>
      <w:r>
        <w:rPr>
          <w:rFonts w:ascii="Calibri" w:cs="Calibri" w:eastAsia="Calibri" w:hAnsi="Calibri"/>
          <w:sz w:val="22"/>
          <w:szCs w:val="22"/>
        </w:rPr>
        <w:t xml:space="preserve">Guadalajara (Gdl)</w:t>
      </w:r>
    </w:p>
    <w:p>
      <w:pPr>
        <w:pStyle w:val="ListParagraph"/>
        <w:numPr>
          <w:ilvl w:val="0"/>
          <w:numId w:val="2"/>
        </w:numPr>
        <w:spacing w:after="60"/>
      </w:pPr>
      <w:r>
        <w:rPr>
          <w:rFonts w:ascii="Calibri" w:cs="Calibri" w:eastAsia="Calibri" w:hAnsi="Calibri"/>
          <w:sz w:val="22"/>
          <w:szCs w:val="22"/>
        </w:rPr>
        <w:t xml:space="preserve">Burbutek</w:t>
      </w:r>
    </w:p>
    <w:p>
      <w:pPr>
        <w:pStyle w:val="ListParagraph"/>
        <w:numPr>
          <w:ilvl w:val="0"/>
          <w:numId w:val="2"/>
        </w:numPr>
        <w:spacing w:after="60"/>
      </w:pPr>
      <w:r>
        <w:rPr>
          <w:rFonts w:ascii="Calibri" w:cs="Calibri" w:eastAsia="Calibri" w:hAnsi="Calibri"/>
          <w:sz w:val="22"/>
          <w:szCs w:val="22"/>
        </w:rPr>
        <w:t xml:space="preserve">Mina</w:t>
      </w:r>
    </w:p>
    <w:p>
      <w:pPr>
        <w:pStyle w:val="ListParagraph"/>
        <w:numPr>
          <w:ilvl w:val="0"/>
          <w:numId w:val="2"/>
        </w:numPr>
        <w:spacing w:after="60"/>
      </w:pPr>
      <w:r>
        <w:rPr>
          <w:rFonts w:ascii="Calibri" w:cs="Calibri" w:eastAsia="Calibri" w:hAnsi="Calibri"/>
          <w:sz w:val="22"/>
          <w:szCs w:val="22"/>
        </w:rPr>
        <w:t xml:space="preserve">Planta Couting</w:t>
      </w:r>
    </w:p>
    <w:p>
      <w:pPr>
        <w:pStyle w:val="Heading2"/>
        <w:spacing w:after="100" w:before="220"/>
      </w:pPr>
      <w:r>
        <w:rPr>
          <w:rFonts w:ascii="Calibri" w:cs="Calibri" w:eastAsia="Calibri" w:hAnsi="Calibri"/>
          <w:b/>
          <w:bCs/>
          <w:color w:val="1F4E79"/>
          <w:sz w:val="22"/>
          <w:szCs w:val="22"/>
        </w:rPr>
        <w:t xml:space="preserve">2.2 Dispositivos móviles</w:t>
      </w:r>
    </w:p>
    <w:p>
      <w:pPr>
        <w:spacing w:after="120" w:line="276"/>
      </w:pPr>
      <w:r>
        <w:rPr>
          <w:rFonts w:ascii="Calibri" w:cs="Calibri" w:eastAsia="Calibri" w:hAnsi="Calibri"/>
          <w:sz w:val="22"/>
          <w:szCs w:val="22"/>
        </w:rPr>
        <w:t xml:space="preserve">Utilizados por personal sin ubicación fija de checado:</w:t>
      </w:r>
    </w:p>
    <w:p>
      <w:pPr>
        <w:pStyle w:val="ListParagraph"/>
        <w:numPr>
          <w:ilvl w:val="0"/>
          <w:numId w:val="2"/>
        </w:numPr>
        <w:spacing w:after="60"/>
      </w:pPr>
      <w:r>
        <w:rPr>
          <w:rFonts w:ascii="Calibri" w:cs="Calibri" w:eastAsia="Calibri" w:hAnsi="Calibri"/>
          <w:sz w:val="22"/>
          <w:szCs w:val="22"/>
        </w:rPr>
        <w:t xml:space="preserve">Vendedores</w:t>
      </w:r>
    </w:p>
    <w:p>
      <w:pPr>
        <w:pStyle w:val="ListParagraph"/>
        <w:numPr>
          <w:ilvl w:val="0"/>
          <w:numId w:val="2"/>
        </w:numPr>
        <w:spacing w:after="60"/>
      </w:pPr>
      <w:r>
        <w:rPr>
          <w:rFonts w:ascii="Calibri" w:cs="Calibri" w:eastAsia="Calibri" w:hAnsi="Calibri"/>
          <w:sz w:val="22"/>
          <w:szCs w:val="22"/>
        </w:rPr>
        <w:t xml:space="preserve">Promotores</w:t>
      </w:r>
    </w:p>
    <w:p>
      <w:pPr>
        <w:pStyle w:val="ListParagraph"/>
        <w:numPr>
          <w:ilvl w:val="0"/>
          <w:numId w:val="2"/>
        </w:numPr>
        <w:spacing w:after="60"/>
      </w:pPr>
      <w:r>
        <w:rPr>
          <w:rFonts w:ascii="Calibri" w:cs="Calibri" w:eastAsia="Calibri" w:hAnsi="Calibri"/>
          <w:sz w:val="22"/>
          <w:szCs w:val="22"/>
        </w:rPr>
        <w:t xml:space="preserve">Personal en modalidad Home Office</w:t>
      </w:r>
    </w:p>
    <w:p>
      <w:pPr>
        <w:pStyle w:val="Heading1"/>
        <w:pBdr>
          <w:bottom w:val="single" w:color="1F4E79" w:sz="6" w:space="4"/>
        </w:pBdr>
        <w:spacing w:after="150" w:before="300"/>
      </w:pPr>
      <w:r>
        <w:rPr>
          <w:rFonts w:ascii="Calibri" w:cs="Calibri" w:eastAsia="Calibri" w:hAnsi="Calibri"/>
          <w:b/>
          <w:bCs/>
          <w:color w:val="1F4E79"/>
          <w:sz w:val="26"/>
          <w:szCs w:val="26"/>
        </w:rPr>
        <w:t xml:space="preserve">3. Componentes de Software</w:t>
      </w:r>
    </w:p>
    <w:p>
      <w:pPr>
        <w:pStyle w:val="ListParagraph"/>
        <w:numPr>
          <w:ilvl w:val="0"/>
          <w:numId w:val="2"/>
        </w:numPr>
        <w:spacing w:after="60"/>
      </w:pPr>
      <w:r>
        <w:rPr>
          <w:rFonts w:ascii="Calibri" w:cs="Calibri" w:eastAsia="Calibri" w:hAnsi="Calibri"/>
          <w:sz w:val="22"/>
          <w:szCs w:val="22"/>
        </w:rPr>
        <w:t xml:space="preserve">Cuenta administradora de Hikvision (gestión centralizada de dispositivos y usuarios).</w:t>
      </w:r>
    </w:p>
    <w:p>
      <w:pPr>
        <w:pStyle w:val="ListParagraph"/>
        <w:numPr>
          <w:ilvl w:val="0"/>
          <w:numId w:val="2"/>
        </w:numPr>
        <w:spacing w:after="60"/>
      </w:pPr>
      <w:r>
        <w:rPr>
          <w:rFonts w:ascii="Calibri" w:cs="Calibri" w:eastAsia="Calibri" w:hAnsi="Calibri"/>
          <w:sz w:val="22"/>
          <w:szCs w:val="22"/>
        </w:rPr>
        <w:t xml:space="preserve">Servidor NAVIBIO — Base de datos SQL "Control", tabla de Registros de checadas.</w:t>
      </w:r>
    </w:p>
    <w:p>
      <w:pPr>
        <w:pStyle w:val="ListParagraph"/>
        <w:numPr>
          <w:ilvl w:val="0"/>
          <w:numId w:val="2"/>
        </w:numPr>
        <w:spacing w:after="60"/>
      </w:pPr>
      <w:r>
        <w:rPr>
          <w:rFonts w:ascii="Calibri" w:cs="Calibri" w:eastAsia="Calibri" w:hAnsi="Calibri"/>
          <w:sz w:val="22"/>
          <w:szCs w:val="22"/>
        </w:rPr>
        <w:t xml:space="preserve">Servidor NAVI2 — Base de datos SQL "Humand".</w:t>
      </w:r>
    </w:p>
    <w:p>
      <w:pPr>
        <w:pStyle w:val="ListParagraph"/>
        <w:numPr>
          <w:ilvl w:val="0"/>
          <w:numId w:val="2"/>
        </w:numPr>
        <w:spacing w:after="60"/>
      </w:pPr>
      <w:r>
        <w:rPr>
          <w:rFonts w:ascii="Calibri" w:cs="Calibri" w:eastAsia="Calibri" w:hAnsi="Calibri"/>
          <w:sz w:val="22"/>
          <w:szCs w:val="22"/>
        </w:rPr>
        <w:t xml:space="preserve">Intelisis ERP — Base de datos de nómina.</w:t>
      </w:r>
    </w:p>
    <w:p>
      <w:pPr>
        <w:pStyle w:val="ListParagraph"/>
        <w:numPr>
          <w:ilvl w:val="0"/>
          <w:numId w:val="2"/>
        </w:numPr>
        <w:spacing w:after="60"/>
      </w:pPr>
      <w:r>
        <w:rPr>
          <w:rFonts w:ascii="Calibri" w:cs="Calibri" w:eastAsia="Calibri" w:hAnsi="Calibri"/>
          <w:sz w:val="22"/>
          <w:szCs w:val="22"/>
        </w:rPr>
        <w:t xml:space="preserve">Tareas programadas de Windows (Task Scheduler) para la ejecución periódica de los ETL.</w:t>
      </w:r>
    </w:p>
    <w:p>
      <w:pPr>
        <w:pStyle w:val="Heading1"/>
        <w:pBdr>
          <w:bottom w:val="single" w:color="1F4E79" w:sz="6" w:space="4"/>
        </w:pBdr>
        <w:spacing w:after="150" w:before="300"/>
      </w:pPr>
      <w:r>
        <w:rPr>
          <w:rFonts w:ascii="Calibri" w:cs="Calibri" w:eastAsia="Calibri" w:hAnsi="Calibri"/>
          <w:b/>
          <w:bCs/>
          <w:color w:val="1F4E79"/>
          <w:sz w:val="26"/>
          <w:szCs w:val="26"/>
        </w:rPr>
        <w:t xml:space="preserve">4. Flujo de comunicación e integración</w:t>
      </w:r>
    </w:p>
    <w:p>
      <w:pPr>
        <w:pStyle w:val="Heading2"/>
        <w:spacing w:after="100" w:before="220"/>
      </w:pPr>
      <w:r>
        <w:rPr>
          <w:rFonts w:ascii="Calibri" w:cs="Calibri" w:eastAsia="Calibri" w:hAnsi="Calibri"/>
          <w:b/>
          <w:bCs/>
          <w:color w:val="1F4E79"/>
          <w:sz w:val="22"/>
          <w:szCs w:val="22"/>
        </w:rPr>
        <w:t xml:space="preserve">4.1 Hikvision → SQL NAVIBIO</w:t>
      </w:r>
    </w:p>
    <w:p>
      <w:pPr>
        <w:spacing w:after="120" w:line="276"/>
      </w:pPr>
      <w:r>
        <w:rPr>
          <w:rFonts w:ascii="Calibri" w:cs="Calibri" w:eastAsia="Calibri" w:hAnsi="Calibri"/>
          <w:sz w:val="22"/>
          <w:szCs w:val="22"/>
        </w:rPr>
        <w:t xml:space="preserve">Los relojes checadores Hikvision, instalados en cada ubicación física, envían la información de las checadas al servidor NAVIBIO, almacenándose en la base de datos SQL "Control", específicamente en la tabla de Registros.</w:t>
      </w:r>
    </w:p>
    <w:p>
      <w:pPr>
        <w:pStyle w:val="Heading2"/>
        <w:spacing w:after="100" w:before="220"/>
      </w:pPr>
      <w:r>
        <w:rPr>
          <w:rFonts w:ascii="Calibri" w:cs="Calibri" w:eastAsia="Calibri" w:hAnsi="Calibri"/>
          <w:b/>
          <w:bCs/>
          <w:color w:val="1F4E79"/>
          <w:sz w:val="22"/>
          <w:szCs w:val="22"/>
        </w:rPr>
        <w:t xml:space="preserve">4.2 SQL NAVIBIO → Humand</w:t>
      </w:r>
    </w:p>
    <w:p>
      <w:pPr>
        <w:spacing w:after="120" w:line="276"/>
      </w:pPr>
      <w:r>
        <w:rPr>
          <w:rFonts w:ascii="Calibri" w:cs="Calibri" w:eastAsia="Calibri" w:hAnsi="Calibri"/>
          <w:sz w:val="22"/>
          <w:szCs w:val="22"/>
        </w:rPr>
        <w:t xml:space="preserve">Mediante una tarea programada de Windows, se ejecuta cada hora el ETL sync_humand.py, el cual toma la información de checadas y la envía a la plataforma Humand por medio del consumo de sus APIs.</w:t>
      </w:r>
    </w:p>
    <w:p>
      <w:pPr>
        <w:pStyle w:val="Heading2"/>
        <w:spacing w:after="100" w:before="220"/>
      </w:pPr>
      <w:r>
        <w:rPr>
          <w:rFonts w:ascii="Calibri" w:cs="Calibri" w:eastAsia="Calibri" w:hAnsi="Calibri"/>
          <w:b/>
          <w:bCs/>
          <w:color w:val="1F4E79"/>
          <w:sz w:val="22"/>
          <w:szCs w:val="22"/>
        </w:rPr>
        <w:t xml:space="preserve">4.3 Humand → Base de Datos SQL (Servidor NAVI2)</w:t>
      </w:r>
    </w:p>
    <w:p>
      <w:pPr>
        <w:spacing w:after="120" w:line="276"/>
      </w:pPr>
      <w:r>
        <w:rPr>
          <w:rFonts w:ascii="Calibri" w:cs="Calibri" w:eastAsia="Calibri" w:hAnsi="Calibri"/>
          <w:sz w:val="22"/>
          <w:szCs w:val="22"/>
        </w:rPr>
        <w:t xml:space="preserve">Humand almacena y expone la información sincronizada en las siguientes tablas dentro de la base de datos SQL alojada en el servidor NAVI2:</w:t>
      </w:r>
    </w:p>
    <w:p>
      <w:pPr>
        <w:pStyle w:val="ListParagraph"/>
        <w:numPr>
          <w:ilvl w:val="0"/>
          <w:numId w:val="2"/>
        </w:numPr>
        <w:spacing w:after="60"/>
      </w:pPr>
      <w:r>
        <w:rPr>
          <w:rFonts w:ascii="Calibri" w:cs="Calibri" w:eastAsia="Calibri" w:hAnsi="Calibri"/>
          <w:sz w:val="22"/>
          <w:szCs w:val="22"/>
        </w:rPr>
        <w:t xml:space="preserve">IncidenciaHumand</w:t>
      </w:r>
    </w:p>
    <w:p>
      <w:pPr>
        <w:pStyle w:val="ListParagraph"/>
        <w:numPr>
          <w:ilvl w:val="0"/>
          <w:numId w:val="2"/>
        </w:numPr>
        <w:spacing w:after="60"/>
      </w:pPr>
      <w:r>
        <w:rPr>
          <w:rFonts w:ascii="Calibri" w:cs="Calibri" w:eastAsia="Calibri" w:hAnsi="Calibri"/>
          <w:sz w:val="22"/>
          <w:szCs w:val="22"/>
        </w:rPr>
        <w:t xml:space="preserve">HumandSyncControl</w:t>
      </w:r>
    </w:p>
    <w:p>
      <w:pPr>
        <w:pStyle w:val="ListParagraph"/>
        <w:numPr>
          <w:ilvl w:val="0"/>
          <w:numId w:val="2"/>
        </w:numPr>
        <w:spacing w:after="60"/>
      </w:pPr>
      <w:r>
        <w:rPr>
          <w:rFonts w:ascii="Calibri" w:cs="Calibri" w:eastAsia="Calibri" w:hAnsi="Calibri"/>
          <w:sz w:val="22"/>
          <w:szCs w:val="22"/>
        </w:rPr>
        <w:t xml:space="preserve">Humand</w:t>
      </w:r>
    </w:p>
    <w:p>
      <w:pPr>
        <w:pStyle w:val="ListParagraph"/>
        <w:numPr>
          <w:ilvl w:val="0"/>
          <w:numId w:val="2"/>
        </w:numPr>
        <w:spacing w:after="60"/>
      </w:pPr>
      <w:r>
        <w:rPr>
          <w:rFonts w:ascii="Calibri" w:cs="Calibri" w:eastAsia="Calibri" w:hAnsi="Calibri"/>
          <w:sz w:val="22"/>
          <w:szCs w:val="22"/>
        </w:rPr>
        <w:t xml:space="preserve">HumandRawDaySummary</w:t>
      </w:r>
    </w:p>
    <w:p>
      <w:pPr>
        <w:pStyle w:val="ListParagraph"/>
        <w:numPr>
          <w:ilvl w:val="0"/>
          <w:numId w:val="2"/>
        </w:numPr>
        <w:spacing w:after="60"/>
      </w:pPr>
      <w:r>
        <w:rPr>
          <w:rFonts w:ascii="Calibri" w:cs="Calibri" w:eastAsia="Calibri" w:hAnsi="Calibri"/>
          <w:sz w:val="22"/>
          <w:szCs w:val="22"/>
        </w:rPr>
        <w:t xml:space="preserve">HorarioHistorico</w:t>
      </w:r>
    </w:p>
    <w:p>
      <w:pPr>
        <w:pStyle w:val="ListParagraph"/>
        <w:numPr>
          <w:ilvl w:val="0"/>
          <w:numId w:val="2"/>
        </w:numPr>
        <w:spacing w:after="60"/>
      </w:pPr>
      <w:r>
        <w:rPr>
          <w:rFonts w:ascii="Calibri" w:cs="Calibri" w:eastAsia="Calibri" w:hAnsi="Calibri"/>
          <w:sz w:val="22"/>
          <w:szCs w:val="22"/>
        </w:rPr>
        <w:t xml:space="preserve">DiasEspeciales</w:t>
      </w:r>
    </w:p>
    <w:p>
      <w:pPr>
        <w:pStyle w:val="ListParagraph"/>
        <w:numPr>
          <w:ilvl w:val="0"/>
          <w:numId w:val="2"/>
        </w:numPr>
        <w:spacing w:after="60"/>
      </w:pPr>
      <w:r>
        <w:rPr>
          <w:rFonts w:ascii="Calibri" w:cs="Calibri" w:eastAsia="Calibri" w:hAnsi="Calibri"/>
          <w:sz w:val="22"/>
          <w:szCs w:val="22"/>
        </w:rPr>
        <w:t xml:space="preserve">RotativoEmpleados</w:t>
      </w:r>
    </w:p>
    <w:p>
      <w:pPr>
        <w:pStyle w:val="ListParagraph"/>
        <w:numPr>
          <w:ilvl w:val="0"/>
          <w:numId w:val="2"/>
        </w:numPr>
        <w:spacing w:after="60"/>
      </w:pPr>
      <w:r>
        <w:rPr>
          <w:rFonts w:ascii="Calibri" w:cs="Calibri" w:eastAsia="Calibri" w:hAnsi="Calibri"/>
          <w:sz w:val="22"/>
          <w:szCs w:val="22"/>
        </w:rPr>
        <w:t xml:space="preserve">RotativoTurnoCatalogo</w:t>
      </w:r>
    </w:p>
    <w:p>
      <w:pPr>
        <w:pStyle w:val="ListParagraph"/>
        <w:numPr>
          <w:ilvl w:val="0"/>
          <w:numId w:val="2"/>
        </w:numPr>
        <w:spacing w:after="60"/>
      </w:pPr>
      <w:r>
        <w:rPr>
          <w:rFonts w:ascii="Calibri" w:cs="Calibri" w:eastAsia="Calibri" w:hAnsi="Calibri"/>
          <w:sz w:val="22"/>
          <w:szCs w:val="22"/>
        </w:rPr>
        <w:t xml:space="preserve">HumandBajasPendientes</w:t>
      </w:r>
    </w:p>
    <w:p>
      <w:pPr>
        <w:spacing w:after="120" w:line="276"/>
      </w:pPr>
      <w:r>
        <w:rPr>
          <w:rFonts w:ascii="Calibri" w:cs="Calibri" w:eastAsia="Calibri" w:hAnsi="Calibri"/>
          <w:sz w:val="22"/>
          <w:szCs w:val="22"/>
        </w:rPr>
        <w:t xml:space="preserve">La sincronización de esta información se ejecuta mediante el ETL sync_humand_intelisis.py, el cual, además de los registros de checadas en Humand, procesa las incidencias de tipo INCAPACIDAD_ENFERMEDAD, PERMISO_SIN_GOCE, VACACIONES, entre otras.</w:t>
      </w:r>
    </w:p>
    <w:p>
      <w:pPr>
        <w:pStyle w:val="Heading2"/>
        <w:spacing w:after="100" w:before="220"/>
      </w:pPr>
      <w:r>
        <w:rPr>
          <w:rFonts w:ascii="Calibri" w:cs="Calibri" w:eastAsia="Calibri" w:hAnsi="Calibri"/>
          <w:b/>
          <w:bCs/>
          <w:color w:val="1F4E79"/>
          <w:sz w:val="22"/>
          <w:szCs w:val="22"/>
        </w:rPr>
        <w:t xml:space="preserve">4.4 Base de Datos SQL Humand → Intelisis ERP</w:t>
      </w:r>
    </w:p>
    <w:p>
      <w:pPr>
        <w:spacing w:after="120" w:line="276"/>
      </w:pPr>
      <w:r>
        <w:rPr>
          <w:rFonts w:ascii="Calibri" w:cs="Calibri" w:eastAsia="Calibri" w:hAnsi="Calibri"/>
          <w:sz w:val="22"/>
          <w:szCs w:val="22"/>
        </w:rPr>
        <w:t xml:space="preserve">Finalmente, desde un diálogo dentro de Intelisis ERP se ejecuta el stored procedure nvk_sp_InsertaIncidencias, el cual toma la información en bruto almacenada en la tabla Humand del servidor SQL NAVI2 y la transforma, procesando las incidencias conforme a las reglas de negocio definidas, para insertarlas en las tablas correspondientes del módulo de nómina del ERP.</w:t>
      </w:r>
    </w:p>
    <w:p>
      <w:pPr>
        <w:pStyle w:val="Heading1"/>
        <w:pBdr>
          <w:bottom w:val="single" w:color="1F4E79" w:sz="6" w:space="4"/>
        </w:pBdr>
        <w:spacing w:after="150" w:before="300"/>
      </w:pPr>
      <w:r>
        <w:rPr>
          <w:rFonts w:ascii="Calibri" w:cs="Calibri" w:eastAsia="Calibri" w:hAnsi="Calibri"/>
          <w:b/>
          <w:bCs/>
          <w:color w:val="1F4E79"/>
          <w:sz w:val="26"/>
          <w:szCs w:val="26"/>
        </w:rPr>
        <w:t xml:space="preserve">5. Resumen del flujo end-to-end</w:t>
      </w:r>
    </w:p>
    <w:p>
      <w:pPr>
        <w:pStyle w:val="ListParagraph"/>
        <w:numPr>
          <w:ilvl w:val="0"/>
          <w:numId w:val="3"/>
        </w:numPr>
        <w:spacing w:after="60"/>
      </w:pPr>
      <w:r>
        <w:rPr>
          <w:rFonts w:ascii="Calibri" w:cs="Calibri" w:eastAsia="Calibri" w:hAnsi="Calibri"/>
          <w:sz w:val="22"/>
          <w:szCs w:val="22"/>
        </w:rPr>
        <w:t xml:space="preserve">Captura de la checada en el reloj Hikvision (o dispositivo móvil para personal foráneo).</w:t>
      </w:r>
    </w:p>
    <w:p>
      <w:pPr>
        <w:pStyle w:val="ListParagraph"/>
        <w:numPr>
          <w:ilvl w:val="0"/>
          <w:numId w:val="3"/>
        </w:numPr>
        <w:spacing w:after="60"/>
      </w:pPr>
      <w:r>
        <w:rPr>
          <w:rFonts w:ascii="Calibri" w:cs="Calibri" w:eastAsia="Calibri" w:hAnsi="Calibri"/>
          <w:sz w:val="22"/>
          <w:szCs w:val="22"/>
        </w:rPr>
        <w:t xml:space="preserve">Envío de la checada al servidor NAVIBIO, base de datos SQL "Control", tabla Registros.</w:t>
      </w:r>
    </w:p>
    <w:p>
      <w:pPr>
        <w:pStyle w:val="ListParagraph"/>
        <w:numPr>
          <w:ilvl w:val="0"/>
          <w:numId w:val="3"/>
        </w:numPr>
        <w:spacing w:after="60"/>
      </w:pPr>
      <w:r>
        <w:rPr>
          <w:rFonts w:ascii="Calibri" w:cs="Calibri" w:eastAsia="Calibri" w:hAnsi="Calibri"/>
          <w:sz w:val="22"/>
          <w:szCs w:val="22"/>
        </w:rPr>
        <w:t xml:space="preserve">Ejecución horaria (tarea programada de Windows) del ETL sync_humand.py, que envía la checada a Humand vía API.</w:t>
      </w:r>
    </w:p>
    <w:p>
      <w:pPr>
        <w:pStyle w:val="ListParagraph"/>
        <w:numPr>
          <w:ilvl w:val="0"/>
          <w:numId w:val="3"/>
        </w:numPr>
        <w:spacing w:after="60"/>
      </w:pPr>
      <w:r>
        <w:rPr>
          <w:rFonts w:ascii="Calibri" w:cs="Calibri" w:eastAsia="Calibri" w:hAnsi="Calibri"/>
          <w:sz w:val="22"/>
          <w:szCs w:val="22"/>
        </w:rPr>
        <w:t xml:space="preserve">Humand procesa y expone la información en sus tablas dentro del servidor SQL NAVI2.</w:t>
      </w:r>
    </w:p>
    <w:p>
      <w:pPr>
        <w:pStyle w:val="ListParagraph"/>
        <w:numPr>
          <w:ilvl w:val="0"/>
          <w:numId w:val="3"/>
        </w:numPr>
        <w:spacing w:after="60"/>
      </w:pPr>
      <w:r>
        <w:rPr>
          <w:rFonts w:ascii="Calibri" w:cs="Calibri" w:eastAsia="Calibri" w:hAnsi="Calibri"/>
          <w:sz w:val="22"/>
          <w:szCs w:val="22"/>
        </w:rPr>
        <w:t xml:space="preserve">Ejecución del ETL sync_humand_intelisis.py, que sincroniza checadas e incidencias (INCAPACIDAD_ENFERMEDAD, PERMISO_SIN_GOCE, VACACIONES, etc.) desde Humand hacia la base de datos de Intelisis.</w:t>
      </w:r>
    </w:p>
    <w:p>
      <w:pPr>
        <w:pStyle w:val="ListParagraph"/>
        <w:numPr>
          <w:ilvl w:val="0"/>
          <w:numId w:val="3"/>
        </w:numPr>
        <w:spacing w:after="60"/>
      </w:pPr>
      <w:r>
        <w:rPr>
          <w:rFonts w:ascii="Calibri" w:cs="Calibri" w:eastAsia="Calibri" w:hAnsi="Calibri"/>
          <w:sz w:val="22"/>
          <w:szCs w:val="22"/>
        </w:rPr>
        <w:t xml:space="preserve">Ejecución del stored procedure nvk_sp_InsertaIncidencias desde un diálogo de Intelisis ERP, que transforma la información en bruto y la inserta en las tablas de nómina conforme a las reglas de negocio.</w:t>
      </w:r>
    </w:p>
    <w:p>
      <w:pPr>
        <w:pStyle w:val="Heading1"/>
        <w:pBdr>
          <w:bottom w:val="single" w:color="1F4E79" w:sz="6" w:space="4"/>
        </w:pBdr>
        <w:spacing w:after="150" w:before="300"/>
      </w:pPr>
      <w:r>
        <w:rPr>
          <w:rFonts w:ascii="Calibri" w:cs="Calibri" w:eastAsia="Calibri" w:hAnsi="Calibri"/>
          <w:b/>
          <w:bCs/>
          <w:color w:val="1F4E79"/>
          <w:sz w:val="26"/>
          <w:szCs w:val="26"/>
        </w:rPr>
        <w:t xml:space="preserve">6. Tabla resumen de componentes ETL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556"/>
      </w:tblGrid>
      <w:tr>
        <w:trPr>
          <w:tblHeader/>
        </w:trPr>
        <w:tc>
          <w:tcPr>
            <w:tcW w:type="pct" w:w="22%"/>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Script / Proceso</w:t>
            </w:r>
          </w:p>
        </w:tc>
        <w:tc>
          <w:tcPr>
            <w:tcW w:type="pct" w:w="2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Origen</w:t>
            </w:r>
          </w:p>
        </w:tc>
        <w:tc>
          <w:tcPr>
            <w:tcW w:type="pct" w:w="20%"/>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Destino</w:t>
            </w:r>
          </w:p>
        </w:tc>
        <w:tc>
          <w:tcPr>
            <w:tcW w:type="pct" w:w="38%"/>
            <w:shd w:fill="1F4E79" w:val="clear"/>
            <w:tcMar>
              <w:top w:type="dxa" w:w="80"/>
              <w:left w:type="dxa" w:w="100"/>
              <w:bottom w:type="dxa" w:w="80"/>
              <w:right w:type="dxa" w:w="100"/>
            </w:tcMar>
          </w:tcPr>
          <w:p>
            <w:r>
              <w:rPr>
                <w:rFonts w:ascii="Calibri" w:cs="Calibri" w:eastAsia="Calibri" w:hAnsi="Calibri"/>
                <w:b/>
                <w:bCs/>
                <w:color w:val="FFFFFF"/>
                <w:sz w:val="20"/>
                <w:szCs w:val="20"/>
              </w:rPr>
              <w:t xml:space="preserve">Ejecución</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sync_humand.py</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SQL NAVIBIO (tabla Registros)</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Humand (vía API)</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Tarea programada de Windows, cada hora</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sync_humand_intelisis.py</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SQL Humand (servidor NAVI2)</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Base de datos Intelisis ERP</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Tarea programada de Windows</w:t>
            </w:r>
          </w:p>
        </w:tc>
      </w:tr>
      <w:tr>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nvk_sp_InsertaIncidencias</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Tabla Humand (servidor NAVI2)</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Tablas de nómina de Intelisis ERP</w:t>
            </w:r>
          </w:p>
        </w:tc>
        <w:tc>
          <w:tcPr>
            <w:tcW w:type="pct" w:w="25%"/>
            <w:tcMar>
              <w:top w:type="dxa" w:w="80"/>
              <w:left w:type="dxa" w:w="100"/>
              <w:bottom w:type="dxa" w:w="80"/>
              <w:right w:type="dxa" w:w="100"/>
            </w:tcMar>
          </w:tcPr>
          <w:p>
            <w:r>
              <w:rPr>
                <w:rFonts w:ascii="Calibri" w:cs="Calibri" w:eastAsia="Calibri" w:hAnsi="Calibri"/>
                <w:b w:val="false"/>
                <w:bCs w:val="false"/>
                <w:color w:val="000000"/>
                <w:sz w:val="20"/>
                <w:szCs w:val="20"/>
              </w:rPr>
              <w:t xml:space="preserve">Diálogo dentro de Intelisis ERP</w:t>
            </w:r>
          </w:p>
        </w:tc>
      </w:tr>
    </w:tbl>
    <w:p>
      <w:pPr>
        <w:spacing w:after="120" w:line="276"/>
      </w:pPr>
      <w:r>
        <w:rPr>
          <w:rFonts w:ascii="Calibri" w:cs="Calibri" w:eastAsia="Calibri" w:hAnsi="Calibri"/>
          <w:sz w:val="22"/>
          <w:szCs w:val="22"/>
        </w:rPr>
        <w:t xml:space="preserve"/>
      </w:r>
    </w:p>
    <w:p>
      <w:pPr>
        <w:pStyle w:val="Heading1"/>
        <w:pBdr>
          <w:bottom w:val="single" w:color="1F4E79" w:sz="6" w:space="4"/>
        </w:pBdr>
        <w:spacing w:after="150" w:before="300"/>
      </w:pPr>
      <w:r>
        <w:rPr>
          <w:rFonts w:ascii="Calibri" w:cs="Calibri" w:eastAsia="Calibri" w:hAnsi="Calibri"/>
          <w:b/>
          <w:bCs/>
          <w:color w:val="1F4E79"/>
          <w:sz w:val="26"/>
          <w:szCs w:val="26"/>
        </w:rPr>
        <w:t xml:space="preserve">7. Cierre</w:t>
      </w:r>
    </w:p>
    <w:p>
      <w:pPr>
        <w:spacing w:after="120" w:line="276"/>
      </w:pPr>
      <w:r>
        <w:rPr>
          <w:rFonts w:ascii="Calibri" w:cs="Calibri" w:eastAsia="Calibri" w:hAnsi="Calibri"/>
          <w:sz w:val="22"/>
          <w:szCs w:val="22"/>
        </w:rPr>
        <w:t xml:space="preserve">Se entrega la presente documentación como respaldo formal del funcionamiento de la arquitectura descrita, quedando a disposición del equipo receptor para consultas, soporte y futuras mejoras sobre los procesos ETL y la integración entre Hikvision, Humand e Intelisis ERP.</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Atentamente,</w:t>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_____________________________________</w:t>
      </w:r>
    </w:p>
    <w:p>
      <w:pPr>
        <w:spacing w:after="120" w:line="276"/>
      </w:pPr>
      <w:r>
        <w:rPr>
          <w:rFonts w:ascii="Calibri" w:cs="Calibri" w:eastAsia="Calibri" w:hAnsi="Calibri"/>
          <w:sz w:val="22"/>
          <w:szCs w:val="22"/>
        </w:rPr>
        <w:t xml:space="preserve">Nombre y firma</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Página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de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Documentación de Entrega de Proyecto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2026-09-09T23:23:27.014Z</dcterms:created>
  <dcterms:modified xsi:type="dcterms:W3CDTF">2026-09-09T23:23:27.024Z</dcterms:modified>
</cp:coreProperties>
</file>

<file path=docProps/custom.xml><?xml version="1.0" encoding="utf-8"?>
<Properties xmlns="http://schemas.openxmlformats.org/officeDocument/2006/custom-properties" xmlns:vt="http://schemas.openxmlformats.org/officeDocument/2006/docPropsVTypes"/>
</file>