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6FB2" w:sz="12" w:space="6"/>
        </w:pBdr>
        <w:spacing w:after="200" w:before="0"/>
      </w:pPr>
      <w:r>
        <w:rPr>
          <w:b/>
          <w:bCs/>
          <w:color w:val="0F2A44"/>
          <w:sz w:val="34"/>
          <w:szCs w:val="34"/>
        </w:rPr>
        <w:t xml:space="preserve">Arquitectura de comunicación: Relojes Checadores → Humand → Intelisis ERP</w:t>
      </w:r>
    </w:p>
    <w:p>
      <w:pPr>
        <w:spacing w:after="160"/>
      </w:pPr>
      <w:r>
        <w:rPr>
          <w:i/>
          <w:iCs/>
          <w:color w:val="5A6674"/>
          <w:sz w:val="21"/>
          <w:szCs w:val="21"/>
        </w:rPr>
        <w:t xml:space="preserve">Flujo de datos de asistencia desde hardware Hikvision hasta el procesamiento de nómina en Intelisis ERP.</w:t>
      </w:r>
    </w:p>
    <w:p>
      <w:pPr>
        <w:pStyle w:val="Heading2"/>
        <w:pBdr>
          <w:left w:val="single" w:color="1F6FB2" w:sz="24" w:space="8"/>
        </w:pBdr>
        <w:shd w:fill="EAF2F9" w:val="clear"/>
        <w:spacing w:after="160" w:before="360"/>
      </w:pPr>
      <w:r>
        <w:rPr>
          <w:b/>
          <w:bCs/>
          <w:color w:val="0F2A44"/>
          <w:sz w:val="26"/>
          <w:szCs w:val="26"/>
        </w:rPr>
        <w:t xml:space="preserve">1. Resumen general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La infraestructura conecta los relojes checadores físicos instalados en las plantas y oficinas con el sistema de nómina de Intelisis ERP, pasando por dos bases de datos SQL intermedias y una aplicación web de gestión de personal (Humand). El flujo completo consta de tres tramos de comunicación: (1) reloj → base de datos local, (2) base de datos local → Humand, y (3) Humand → Intelisis ERP, este último con un procesamiento tipo ETL que aplica reglas de negocio antes de insertar en las tablas de nómina.</w:t>
      </w:r>
    </w:p>
    <w:p>
      <w:pPr>
        <w:pStyle w:val="Heading2"/>
        <w:pBdr>
          <w:left w:val="single" w:color="1F6FB2" w:sz="24" w:space="8"/>
        </w:pBdr>
        <w:shd w:fill="EAF2F9" w:val="clear"/>
        <w:spacing w:after="160" w:before="360"/>
      </w:pPr>
      <w:r>
        <w:rPr>
          <w:b/>
          <w:bCs/>
          <w:color w:val="0F2A44"/>
          <w:sz w:val="26"/>
          <w:szCs w:val="26"/>
        </w:rPr>
        <w:t xml:space="preserve">2. Hardware: relojes checadores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Los relojes checadores Hikvision están distribuidos en las siguientes ubicaciones físicas: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Texcoco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Corpo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Gdl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Burbutek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Mina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Planta Couting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Cada dispositivo registra los checados (entradas/salidas) del personal y los concentra a través del software cliente Hikvision.</w:t>
      </w:r>
    </w:p>
    <w:p>
      <w:pPr>
        <w:pStyle w:val="Heading2"/>
        <w:pBdr>
          <w:left w:val="single" w:color="1F6FB2" w:sz="24" w:space="8"/>
        </w:pBdr>
        <w:shd w:fill="EAF2F9" w:val="clear"/>
        <w:spacing w:after="160" w:before="360"/>
      </w:pPr>
      <w:r>
        <w:rPr>
          <w:b/>
          <w:bCs/>
          <w:color w:val="0F2A44"/>
          <w:sz w:val="26"/>
          <w:szCs w:val="26"/>
        </w:rPr>
        <w:t xml:space="preserve">3. Tramo 1 — Reloj checador → BD SQL (Servidor Navibio)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El software utilizado es iVMS-4200 AC Client, con la cuenta administrador del módulo Tiempo y Asistencia, que incluye de forma nativa el registro de tiempo y asistencia y la capacidad de sincronizar hacia una base de datos externa.</w:t>
      </w:r>
    </w:p>
    <w:p>
      <w:pPr>
        <w:spacing w:after="100" w:before="220"/>
      </w:pPr>
      <w:r>
        <w:rPr>
          <w:b/>
          <w:bCs/>
          <w:color w:val="1F6FB2"/>
          <w:sz w:val="22"/>
          <w:szCs w:val="22"/>
        </w:rPr>
        <w:t xml:space="preserve">Configuración paso a paso en iVMS-4200 AC Client</w:t>
      </w:r>
    </w:p>
    <w:p>
      <w:pPr>
        <w:spacing w:after="40" w:before="200"/>
      </w:pPr>
      <w:r>
        <w:rPr>
          <w:b/>
          <w:bCs/>
          <w:color w:val="1F6FB2"/>
          <w:sz w:val="22"/>
          <w:szCs w:val="22"/>
        </w:rPr>
        <w:t xml:space="preserve">Paso 1. </w:t>
      </w:r>
      <w:r>
        <w:rPr>
          <w:b/>
          <w:bCs/>
          <w:color w:val="0F2A44"/>
          <w:sz w:val="22"/>
          <w:szCs w:val="22"/>
        </w:rPr>
        <w:t xml:space="preserve">Entrar al módulo de Tiempo y Asistencia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Dentro del software cliente (iVMS-4200 / iVMS-4200 AC Client), abrir el módulo Time &amp; Attendance.</w:t>
      </w:r>
    </w:p>
    <w:p>
      <w:pPr>
        <w:spacing w:after="40" w:before="200"/>
      </w:pPr>
      <w:r>
        <w:rPr>
          <w:b/>
          <w:bCs/>
          <w:color w:val="1F6FB2"/>
          <w:sz w:val="22"/>
          <w:szCs w:val="22"/>
        </w:rPr>
        <w:t xml:space="preserve">Paso 2. </w:t>
      </w:r>
      <w:r>
        <w:rPr>
          <w:b/>
          <w:bCs/>
          <w:color w:val="0F2A44"/>
          <w:sz w:val="22"/>
          <w:szCs w:val="22"/>
        </w:rPr>
        <w:t xml:space="preserve">Ir a Attendance Settings &gt; Third-Party Database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Ahí vive toda la configuración de la función de sincronización hacia bases de datos externas.</w:t>
      </w:r>
    </w:p>
    <w:p>
      <w:pPr>
        <w:spacing w:after="40" w:before="200"/>
      </w:pPr>
      <w:r>
        <w:rPr>
          <w:b/>
          <w:bCs/>
          <w:color w:val="1F6FB2"/>
          <w:sz w:val="22"/>
          <w:szCs w:val="22"/>
        </w:rPr>
        <w:t xml:space="preserve">Paso 3. </w:t>
      </w:r>
      <w:r>
        <w:rPr>
          <w:b/>
          <w:bCs/>
          <w:color w:val="0F2A44"/>
          <w:sz w:val="22"/>
          <w:szCs w:val="22"/>
        </w:rPr>
        <w:t xml:space="preserve">Activar el switch "Apply to Database"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Es el interruptor maestro que enciende la sincronización automática hacia la base de datos externa.</w:t>
      </w:r>
    </w:p>
    <w:p>
      <w:pPr>
        <w:spacing w:after="40" w:before="200"/>
      </w:pPr>
      <w:r>
        <w:rPr>
          <w:b/>
          <w:bCs/>
          <w:color w:val="1F6FB2"/>
          <w:sz w:val="22"/>
          <w:szCs w:val="22"/>
        </w:rPr>
        <w:t xml:space="preserve">Paso 4. </w:t>
      </w:r>
      <w:r>
        <w:rPr>
          <w:b/>
          <w:bCs/>
          <w:color w:val="0F2A44"/>
          <w:sz w:val="22"/>
          <w:szCs w:val="22"/>
        </w:rPr>
        <w:t xml:space="preserve">Configurar la conexión a la base de datos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Se define el tipo de motor (SQL Server o MySQL), la IP del servidor, el nombre de la base de datos, usuario y contraseña.</w:t>
      </w:r>
    </w:p>
    <w:p>
      <w:pPr>
        <w:spacing w:after="40" w:before="200"/>
      </w:pPr>
      <w:r>
        <w:rPr>
          <w:b/>
          <w:bCs/>
          <w:color w:val="1F6FB2"/>
          <w:sz w:val="22"/>
          <w:szCs w:val="22"/>
        </w:rPr>
        <w:t xml:space="preserve">Paso 5. </w:t>
      </w:r>
      <w:r>
        <w:rPr>
          <w:b/>
          <w:bCs/>
          <w:color w:val="0F2A44"/>
          <w:sz w:val="22"/>
          <w:szCs w:val="22"/>
        </w:rPr>
        <w:t xml:space="preserve">Definir la tabla destino y el mapeo de campos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Se indica el nombre de la tabla en la base de datos y se mapea cada campo del software cliente contra la columna correspondiente de esa tabla.</w:t>
      </w:r>
    </w:p>
    <w:p>
      <w:pPr>
        <w:spacing w:after="40" w:before="200"/>
      </w:pPr>
      <w:r>
        <w:rPr>
          <w:b/>
          <w:bCs/>
          <w:color w:val="1F6FB2"/>
          <w:sz w:val="22"/>
          <w:szCs w:val="22"/>
        </w:rPr>
        <w:t xml:space="preserve">Paso 6. </w:t>
      </w:r>
      <w:r>
        <w:rPr>
          <w:b/>
          <w:bCs/>
          <w:color w:val="0F2A44"/>
          <w:sz w:val="22"/>
          <w:szCs w:val="22"/>
        </w:rPr>
        <w:t xml:space="preserve">Ejecutar la prueba de conexión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El botón "Connection Test" valida que el software pueda conectarse y escribir en la base antes de guardar los cambios.</w:t>
      </w:r>
    </w:p>
    <w:p>
      <w:pPr>
        <w:spacing w:after="40" w:before="200"/>
      </w:pPr>
      <w:r>
        <w:rPr>
          <w:b/>
          <w:bCs/>
          <w:color w:val="1F6FB2"/>
          <w:sz w:val="22"/>
          <w:szCs w:val="22"/>
        </w:rPr>
        <w:t xml:space="preserve">Paso 7. </w:t>
      </w:r>
      <w:r>
        <w:rPr>
          <w:b/>
          <w:bCs/>
          <w:color w:val="0F2A44"/>
          <w:sz w:val="22"/>
          <w:szCs w:val="22"/>
        </w:rPr>
        <w:t xml:space="preserve">Guardar los cambios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A partir de este punto, cada registro de asistencia capturado por el software se escribe automáticamente en la base de datos externa.</w:t>
      </w:r>
    </w:p>
    <w:p>
      <w:pPr>
        <w:spacing w:after="200" w:before="120"/>
      </w:pPr>
      <w:r>
        <w:rPr>
          <w:b/>
          <w:bCs/>
          <w:sz w:val="21"/>
          <w:szCs w:val="21"/>
        </w:rPr>
        <w:t xml:space="preserve">Resultado de este tramo: </w:t>
      </w:r>
      <w:r>
        <w:rPr>
          <w:sz w:val="21"/>
          <w:szCs w:val="21"/>
        </w:rPr>
        <w:t xml:space="preserve">la información de checados se envía al servidor Navibio, a la base de datos SQL Control, en la tabla Registros.</w:t>
      </w:r>
    </w:p>
    <w:p>
      <w:pPr>
        <w:pStyle w:val="Heading2"/>
        <w:pBdr>
          <w:left w:val="single" w:color="1F6FB2" w:sz="24" w:space="8"/>
        </w:pBdr>
        <w:shd w:fill="EAF2F9" w:val="clear"/>
        <w:spacing w:after="160" w:before="360"/>
      </w:pPr>
      <w:r>
        <w:rPr>
          <w:b/>
          <w:bCs/>
          <w:color w:val="0F2A44"/>
          <w:sz w:val="26"/>
          <w:szCs w:val="26"/>
        </w:rPr>
        <w:t xml:space="preserve">4. Tramo 2 — BD SQL (Navibio) → Humand</w:t>
      </w:r>
    </w:p>
    <w:p>
      <w:pPr>
        <w:pBdr>
          <w:left w:val="single" w:color="E07B39" w:sz="24" w:space="8"/>
        </w:pBdr>
        <w:shd w:fill="FFF6EC" w:val="clear"/>
        <w:spacing w:after="100"/>
      </w:pPr>
      <w:r>
        <w:rPr>
          <w:b/>
          <w:bCs/>
          <w:sz w:val="21"/>
          <w:szCs w:val="21"/>
        </w:rPr>
        <w:t xml:space="preserve">ETL: </w:t>
      </w:r>
      <w:r>
        <w:rPr>
          <w:rFonts w:ascii="Consolas" w:cs="Consolas" w:eastAsia="Consolas" w:hAnsi="Consolas"/>
          <w:color w:val="B03A2E"/>
          <w:sz w:val="20"/>
          <w:szCs w:val="20"/>
          <w:shd w:fill="EEF2F6" w:val="clear"/>
        </w:rPr>
        <w:t xml:space="preserve">sync_humand.py</w:t>
      </w:r>
      <w:r>
        <w:br/>
        <w:t xml:space="preserve"/>
      </w:r>
      <w:r>
        <w:rPr>
          <w:b/>
          <w:bCs/>
          <w:sz w:val="21"/>
          <w:szCs w:val="21"/>
        </w:rPr>
        <w:t xml:space="preserve">Disparador: </w:t>
      </w:r>
      <w:r>
        <w:rPr>
          <w:sz w:val="21"/>
          <w:szCs w:val="21"/>
        </w:rPr>
        <w:br/>
        <w:t xml:space="preserve">tarea programada de Windows (Task Scheduler), ejecución cada hora</w:t>
      </w:r>
      <w:r>
        <w:rPr>
          <w:b/>
          <w:bCs/>
          <w:sz w:val="21"/>
          <w:szCs w:val="21"/>
        </w:rPr>
        <w:br/>
        <w:t xml:space="preserve">Función: </w:t>
      </w:r>
      <w:r>
        <w:rPr>
          <w:sz w:val="21"/>
          <w:szCs w:val="21"/>
        </w:rPr>
        <w:t xml:space="preserve">toma los registros de la tabla Registros y los envía a Humand mediante consumo de API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Este proceso mantiene sincronizada la aplicación web Humand con los checados capturados en planta, sin intervención manual.</w:t>
      </w:r>
    </w:p>
    <w:p>
      <w:pPr>
        <w:pStyle w:val="Heading2"/>
        <w:pBdr>
          <w:left w:val="single" w:color="1F6FB2" w:sz="24" w:space="8"/>
        </w:pBdr>
        <w:shd w:fill="EAF2F9" w:val="clear"/>
        <w:spacing w:after="160" w:before="360"/>
      </w:pPr>
      <w:r>
        <w:rPr>
          <w:b/>
          <w:bCs/>
          <w:color w:val="0F2A44"/>
          <w:sz w:val="26"/>
          <w:szCs w:val="26"/>
        </w:rPr>
        <w:t xml:space="preserve">5. Servidor intermedio: Navi2 (BD SQL Humand)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El servidor Navi2 aloja la base de datos SQL de Humand, con las siguientes tablas principales: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4500"/>
            <w:shd w:fill="0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9"/>
                <w:szCs w:val="19"/>
              </w:rPr>
              <w:t xml:space="preserve">Humand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9"/>
                <w:szCs w:val="19"/>
              </w:rPr>
              <w:t xml:space="preserve">Registros crudos sincronizados desde la aplicación Humand</w:t>
            </w:r>
          </w:p>
        </w:tc>
      </w:tr>
      <w:tr>
        <w:tc>
          <w:tcPr>
            <w:tcW w:type="dxa" w:w="4500"/>
            <w:shd w:fill="F7FAFC" w:val="clear"/>
          </w:tcPr>
          <w:p>
            <w:r>
              <w:rPr>
                <w:sz w:val="19"/>
                <w:szCs w:val="19"/>
              </w:rPr>
              <w:t xml:space="preserve">IncidenciaHumand</w:t>
            </w:r>
          </w:p>
        </w:tc>
        <w:tc>
          <w:tcPr>
            <w:tcW w:type="dxa" w:w="4500"/>
            <w:shd w:fill="F7FAFC" w:val="clear"/>
          </w:tcPr>
          <w:p>
            <w:r>
              <w:rPr>
                <w:sz w:val="19"/>
                <w:szCs w:val="19"/>
              </w:rPr>
              <w:t xml:space="preserve">Incidencias reportadas en Humand (incapacidades, permisos, vacaciones, etc.)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9"/>
                <w:szCs w:val="19"/>
              </w:rPr>
              <w:t xml:space="preserve">HumandSyncControl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9"/>
                <w:szCs w:val="19"/>
              </w:rPr>
              <w:t xml:space="preserve">Control/bitácora de sincronización entre procesos</w:t>
            </w:r>
          </w:p>
        </w:tc>
      </w:tr>
      <w:tr>
        <w:tc>
          <w:tcPr>
            <w:tcW w:type="dxa" w:w="4500"/>
            <w:shd w:fill="F7FAFC" w:val="clear"/>
          </w:tcPr>
          <w:p>
            <w:r>
              <w:rPr>
                <w:sz w:val="19"/>
                <w:szCs w:val="19"/>
              </w:rPr>
              <w:t xml:space="preserve">HumandRawDaySummary</w:t>
            </w:r>
          </w:p>
        </w:tc>
        <w:tc>
          <w:tcPr>
            <w:tcW w:type="dxa" w:w="4500"/>
            <w:shd w:fill="F7FAFC" w:val="clear"/>
          </w:tcPr>
          <w:p>
            <w:r>
              <w:rPr>
                <w:sz w:val="19"/>
                <w:szCs w:val="19"/>
              </w:rPr>
              <w:t xml:space="preserve">Resumen diario en bruto de asistencia por empleado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9"/>
                <w:szCs w:val="19"/>
              </w:rPr>
              <w:t xml:space="preserve">HorarioHistorico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9"/>
                <w:szCs w:val="19"/>
              </w:rPr>
              <w:t xml:space="preserve">Histórico de horarios asignados</w:t>
            </w:r>
          </w:p>
        </w:tc>
      </w:tr>
      <w:tr>
        <w:tc>
          <w:tcPr>
            <w:tcW w:type="dxa" w:w="4500"/>
            <w:shd w:fill="F7FAFC" w:val="clear"/>
          </w:tcPr>
          <w:p>
            <w:r>
              <w:rPr>
                <w:sz w:val="19"/>
                <w:szCs w:val="19"/>
              </w:rPr>
              <w:t xml:space="preserve">DiasEspeciales</w:t>
            </w:r>
          </w:p>
        </w:tc>
        <w:tc>
          <w:tcPr>
            <w:tcW w:type="dxa" w:w="4500"/>
            <w:shd w:fill="F7FAFC" w:val="clear"/>
          </w:tcPr>
          <w:p>
            <w:r>
              <w:rPr>
                <w:sz w:val="19"/>
                <w:szCs w:val="19"/>
              </w:rPr>
              <w:t xml:space="preserve">Catálogo de días especiales (festivos, excepciones de horario)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9"/>
                <w:szCs w:val="19"/>
              </w:rPr>
              <w:t xml:space="preserve">RotativoEmpleados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9"/>
                <w:szCs w:val="19"/>
              </w:rPr>
              <w:t xml:space="preserve">Asignación de empleados a turnos rotativos</w:t>
            </w:r>
          </w:p>
        </w:tc>
      </w:tr>
      <w:tr>
        <w:tc>
          <w:tcPr>
            <w:tcW w:type="dxa" w:w="4500"/>
            <w:shd w:fill="F7FAFC" w:val="clear"/>
          </w:tcPr>
          <w:p>
            <w:r>
              <w:rPr>
                <w:sz w:val="19"/>
                <w:szCs w:val="19"/>
              </w:rPr>
              <w:t xml:space="preserve">RotativoTurnoCatalogo</w:t>
            </w:r>
          </w:p>
        </w:tc>
        <w:tc>
          <w:tcPr>
            <w:tcW w:type="dxa" w:w="4500"/>
            <w:shd w:fill="F7FAFC" w:val="clear"/>
          </w:tcPr>
          <w:p>
            <w:r>
              <w:rPr>
                <w:sz w:val="19"/>
                <w:szCs w:val="19"/>
              </w:rPr>
              <w:t xml:space="preserve">Catálogo de turnos rotativos disponibles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9"/>
                <w:szCs w:val="19"/>
              </w:rPr>
              <w:t xml:space="preserve">HumandBajasPendientes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9"/>
                <w:szCs w:val="19"/>
              </w:rPr>
              <w:t xml:space="preserve">Bajas de personal pendientes de procesar</w:t>
            </w:r>
          </w:p>
        </w:tc>
      </w:tr>
    </w:tbl>
    <w:p>
      <w:pPr>
        <w:spacing w:after="200"/>
      </w:pPr>
    </w:p>
    <w:p>
      <w:pPr>
        <w:pStyle w:val="Heading2"/>
        <w:pBdr>
          <w:left w:val="single" w:color="1F6FB2" w:sz="24" w:space="8"/>
        </w:pBdr>
        <w:shd w:fill="EAF2F9" w:val="clear"/>
        <w:spacing w:after="160" w:before="360"/>
      </w:pPr>
      <w:r>
        <w:rPr>
          <w:b/>
          <w:bCs/>
          <w:color w:val="0F2A44"/>
          <w:sz w:val="26"/>
          <w:szCs w:val="26"/>
        </w:rPr>
        <w:t xml:space="preserve">6. Tramo 3 — BD SQL Humand (Navi2) → Bases de datos Intelisis ERP</w:t>
      </w:r>
    </w:p>
    <w:p>
      <w:pPr>
        <w:pBdr>
          <w:left w:val="single" w:color="E07B39" w:sz="24" w:space="8"/>
        </w:pBdr>
        <w:shd w:fill="FFF6EC" w:val="clear"/>
        <w:spacing w:after="200"/>
      </w:pPr>
      <w:r>
        <w:rPr>
          <w:b/>
          <w:bCs/>
          <w:sz w:val="21"/>
          <w:szCs w:val="21"/>
        </w:rPr>
        <w:t xml:space="preserve">ETL: </w:t>
      </w:r>
      <w:r>
        <w:rPr>
          <w:rFonts w:ascii="Consolas" w:cs="Consolas" w:eastAsia="Consolas" w:hAnsi="Consolas"/>
          <w:color w:val="B03A2E"/>
          <w:sz w:val="20"/>
          <w:szCs w:val="20"/>
          <w:shd w:fill="EEF2F6" w:val="clear"/>
        </w:rPr>
        <w:t xml:space="preserve">sync_humand_intelisis.py</w:t>
      </w:r>
      <w:r>
        <w:rPr>
          <w:sz w:val="21"/>
          <w:szCs w:val="21"/>
        </w:rPr>
        <w:br/>
        <w:t xml:space="preserve">  Función: sincroniza los registros de checados capturados en Humand, así como las incidencias (INCAPACIDAD_ENFERMEDAD, PERMISO_SIN_GOCE, VACACIONES, entre otras) desde la BD SQL de Humand hacia las bases de datos de Intelisis ERP.</w:t>
      </w:r>
    </w:p>
    <w:p>
      <w:pPr>
        <w:pStyle w:val="Heading2"/>
        <w:pBdr>
          <w:left w:val="single" w:color="1F6FB2" w:sz="24" w:space="8"/>
        </w:pBdr>
        <w:shd w:fill="EAF2F9" w:val="clear"/>
        <w:spacing w:after="160" w:before="360"/>
      </w:pPr>
      <w:r>
        <w:rPr>
          <w:b/>
          <w:bCs/>
          <w:color w:val="0F2A44"/>
          <w:sz w:val="26"/>
          <w:szCs w:val="26"/>
        </w:rPr>
        <w:t xml:space="preserve">7. Procesamiento final en Intelisis ERP (reglas de negocio)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Dentro de Intelisis ERP, por medio de un diálogo del sistema, se ejecuta el stored procedure:</w:t>
      </w:r>
    </w:p>
    <w:p>
      <w:pPr>
        <w:pBdr>
          <w:left w:val="single" w:color="E07B39" w:sz="24" w:space="8"/>
        </w:pBdr>
        <w:shd w:fill="FFF6EC" w:val="clear"/>
        <w:spacing w:after="200"/>
      </w:pPr>
      <w:r>
        <w:rPr>
          <w:rFonts w:ascii="Consolas" w:cs="Consolas" w:eastAsia="Consolas" w:hAnsi="Consolas"/>
          <w:color w:val="B03A2E"/>
          <w:sz w:val="20"/>
          <w:szCs w:val="20"/>
          <w:shd w:fill="EEF2F6" w:val="clear"/>
        </w:rPr>
        <w:t xml:space="preserve">nvk_sp_InsertaIncidencias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Este SP toma la información en bruto de la tabla Humand del servidor SQL Navi2 y la transforma, procesando las incidencias de acuerdo con las reglas de negocio definidas, para finalmente insertar los registros ya procesados en las tablas de nómina del ERP.</w:t>
      </w:r>
    </w:p>
    <w:p>
      <w:pPr>
        <w:pStyle w:val="Heading2"/>
        <w:pBdr>
          <w:left w:val="single" w:color="1F6FB2" w:sz="24" w:space="8"/>
        </w:pBdr>
        <w:shd w:fill="EAF2F9" w:val="clear"/>
        <w:spacing w:after="160" w:before="360"/>
      </w:pPr>
      <w:r>
        <w:rPr>
          <w:b/>
          <w:bCs/>
          <w:color w:val="0F2A44"/>
          <w:sz w:val="26"/>
          <w:szCs w:val="26"/>
        </w:rPr>
        <w:t xml:space="preserve">8. Diagrama de flujo</w:t>
      </w:r>
    </w:p>
    <w:p>
      <w:pPr>
        <w:spacing w:after="100"/>
        <w:jc w:val="center"/>
      </w:pPr>
      <w:r>
        <w:drawing>
          <wp:inline distT="0" distB="0" distL="0" distR="0">
            <wp:extent cx="409575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A6674"/>
          <w:sz w:val="18"/>
          <w:szCs w:val="18"/>
        </w:rPr>
        <w:t xml:space="preserve">El diagrama resume los tres tramos de comunicación: Hikvision → BD Navibio, BD Navibio → Humand → BD Navi2, y BD Navi2 → Intelisis ERP (con reglas de negocio).</w:t>
      </w:r>
    </w:p>
    <w:p>
      <w:pPr>
        <w:pStyle w:val="Heading2"/>
        <w:pBdr>
          <w:left w:val="single" w:color="1F6FB2" w:sz="24" w:space="8"/>
        </w:pBdr>
        <w:shd w:fill="EAF2F9" w:val="clear"/>
        <w:spacing w:after="160" w:before="360"/>
      </w:pPr>
      <w:r>
        <w:rPr>
          <w:b/>
          <w:bCs/>
          <w:color w:val="0F2A44"/>
          <w:sz w:val="26"/>
          <w:szCs w:val="26"/>
        </w:rPr>
        <w:t xml:space="preserve">9. Tabla resumen de componentes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0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Tramo</w:t>
            </w:r>
          </w:p>
        </w:tc>
        <w:tc>
          <w:tcPr>
            <w:tcW w:type="dxa" w:w="2250"/>
            <w:shd w:fill="0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250"/>
            <w:shd w:fill="0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2250"/>
            <w:shd w:fill="0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19"/>
                <w:szCs w:val="19"/>
              </w:rPr>
              <w:t xml:space="preserve">Relojes checadores Hikvision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19"/>
                <w:szCs w:val="19"/>
              </w:rPr>
              <w:t xml:space="preserve">iVMS-4200 AC Client (Third-Party Database)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19"/>
                <w:szCs w:val="19"/>
              </w:rPr>
              <w:t xml:space="preserve">BD SQL Control, servidor Navibio (tabla Registros)</w:t>
            </w:r>
          </w:p>
        </w:tc>
      </w:tr>
      <w:tr>
        <w:tc>
          <w:tcPr>
            <w:tcW w:type="dxa" w:w="2250"/>
            <w:shd w:fill="F7FAFC" w:val="clea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50"/>
            <w:shd w:fill="F7FAFC" w:val="clear"/>
          </w:tcPr>
          <w:p>
            <w:r>
              <w:rPr>
                <w:sz w:val="19"/>
                <w:szCs w:val="19"/>
              </w:rPr>
              <w:t xml:space="preserve">BD SQL Control (Navibio)</w:t>
            </w:r>
          </w:p>
        </w:tc>
        <w:tc>
          <w:tcPr>
            <w:tcW w:type="dxa" w:w="2250"/>
            <w:shd w:fill="F7FAFC" w:val="clear"/>
          </w:tcPr>
          <w:p>
            <w:r>
              <w:rPr>
                <w:sz w:val="19"/>
                <w:szCs w:val="19"/>
              </w:rPr>
              <w:t xml:space="preserve">ETL sync_humand.py — tarea Windows cada hora, API</w:t>
            </w:r>
          </w:p>
        </w:tc>
        <w:tc>
          <w:tcPr>
            <w:tcW w:type="dxa" w:w="2250"/>
            <w:shd w:fill="F7FAFC" w:val="clear"/>
          </w:tcPr>
          <w:p>
            <w:r>
              <w:rPr>
                <w:sz w:val="19"/>
                <w:szCs w:val="19"/>
              </w:rPr>
              <w:t xml:space="preserve">Aplicación Humand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19"/>
                <w:szCs w:val="19"/>
              </w:rPr>
              <w:t xml:space="preserve">Aplicación Humand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19"/>
                <w:szCs w:val="19"/>
              </w:rPr>
              <w:t xml:space="preserve">Sincronización interna de Humand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19"/>
                <w:szCs w:val="19"/>
              </w:rPr>
              <w:t xml:space="preserve">BD SQL Humand, servidor Navi2</w:t>
            </w:r>
          </w:p>
        </w:tc>
      </w:tr>
      <w:tr>
        <w:tc>
          <w:tcPr>
            <w:tcW w:type="dxa" w:w="2250"/>
            <w:shd w:fill="F7FAFC" w:val="clea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50"/>
            <w:shd w:fill="F7FAFC" w:val="clear"/>
          </w:tcPr>
          <w:p>
            <w:r>
              <w:rPr>
                <w:sz w:val="19"/>
                <w:szCs w:val="19"/>
              </w:rPr>
              <w:t xml:space="preserve">BD SQL Humand (Navi2)</w:t>
            </w:r>
          </w:p>
        </w:tc>
        <w:tc>
          <w:tcPr>
            <w:tcW w:type="dxa" w:w="2250"/>
            <w:shd w:fill="F7FAFC" w:val="clear"/>
          </w:tcPr>
          <w:p>
            <w:r>
              <w:rPr>
                <w:sz w:val="19"/>
                <w:szCs w:val="19"/>
              </w:rPr>
              <w:t xml:space="preserve">ETL sync_humand_intelisis.py — checadas e incidencias</w:t>
            </w:r>
          </w:p>
        </w:tc>
        <w:tc>
          <w:tcPr>
            <w:tcW w:type="dxa" w:w="2250"/>
            <w:shd w:fill="F7FAFC" w:val="clear"/>
          </w:tcPr>
          <w:p>
            <w:r>
              <w:rPr>
                <w:sz w:val="19"/>
                <w:szCs w:val="19"/>
              </w:rPr>
              <w:t xml:space="preserve">Bases de datos Intelisis ERP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19"/>
                <w:szCs w:val="19"/>
              </w:rPr>
              <w:t xml:space="preserve">Bases de datos Intelisis ERP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19"/>
                <w:szCs w:val="19"/>
              </w:rPr>
              <w:t xml:space="preserve">SP nvk_sp_InsertaIncidencias (reglas de negocio, vía diálogo)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19"/>
                <w:szCs w:val="19"/>
              </w:rPr>
              <w:t xml:space="preserve">Tablas de nómina del ERP</w:t>
            </w:r>
          </w:p>
        </w:tc>
      </w:tr>
    </w:tbl>
    <w:p>
      <w:pPr>
        <w:pBdr>
          <w:top w:val="single" w:color="D7E1EA" w:sz="6" w:space="8"/>
        </w:pBdr>
        <w:spacing w:before="400"/>
      </w:pPr>
      <w:r>
        <w:rPr>
          <w:i/>
          <w:iCs/>
          <w:color w:val="5A6674"/>
          <w:sz w:val="16"/>
          <w:szCs w:val="16"/>
        </w:rPr>
        <w:t xml:space="preserve">Documento generado a partir de la descripción de arquitectura Hikvision / Humand / Intelisis proporcionada por el usuario.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4"/>
        <w:sz w:val="16"/>
        <w:szCs w:val="16"/>
      </w:rPr>
      <w:t xml:space="preserve">Página </w:t>
    </w:r>
    <w:r>
      <w:rPr>
        <w:color w:val="5A66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674"/>
        <w:sz w:val="16"/>
        <w:szCs w:val="16"/>
      </w:rPr>
      <w:t xml:space="preserve"> de </w:t>
    </w:r>
    <w:r>
      <w:rPr>
        <w:color w:val="5A66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fa60e1b0061e8b9d5dd511bae194705eae1ebd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2026-09-10T23:02:01.095Z</dcterms:created>
  <dcterms:modified xsi:type="dcterms:W3CDTF">2026-09-10T23:02:01.107Z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