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2ecbbab4759c34e7227e477d4886d310a8c969"/>
    <w:p>
      <w:pPr>
        <w:pStyle w:val="Heading1"/>
      </w:pPr>
      <w:r>
        <w:t xml:space="preserve">MissingDataViz.jl — Type I / Type II Error Simulations</w:t>
      </w:r>
    </w:p>
    <w:p>
      <w:pPr>
        <w:pStyle w:val="FirstParagraph"/>
      </w:pPr>
      <w:r>
        <w:rPr>
          <w:b/>
          <w:bCs/>
        </w:rPr>
        <w:t xml:space="preserve">Generated:</w:t>
      </w:r>
      <w:r>
        <w:t xml:space="preserve"> </w:t>
      </w:r>
      <w:r>
        <w:t xml:space="preserve">2026-03-06 08:36:32</w:t>
      </w:r>
    </w:p>
    <w:bookmarkStart w:id="9" w:name="configuration"/>
    <w:p>
      <w:pPr>
        <w:pStyle w:val="Heading2"/>
      </w:pPr>
      <w:r>
        <w:t xml:space="preserve">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Iterations per condition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sizes</w:t>
            </w:r>
          </w:p>
        </w:tc>
        <w:tc>
          <w:tcPr/>
          <w:p>
            <w:pPr>
              <w:pStyle w:val="Compact"/>
            </w:pPr>
            <w:r>
              <w:t xml:space="preserve">1000, 5000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rates</w:t>
            </w:r>
          </w:p>
        </w:tc>
        <w:tc>
          <w:tcPr/>
          <w:p>
            <w:pPr>
              <w:pStyle w:val="Compact"/>
            </w:pPr>
            <w:r>
              <w:t xml:space="preserve">10, 20, 30%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 levels</w:t>
            </w:r>
          </w:p>
        </w:tc>
        <w:tc>
          <w:tcPr/>
          <w:p>
            <w:pPr>
              <w:pStyle w:val="Compact"/>
            </w:pPr>
            <w:r>
              <w:t xml:space="preserve">0.01, 0.05, 0.1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bookmarkEnd w:id="9"/>
    <w:bookmarkStart w:id="12" w:name="table-1-results-for-1000-rows"/>
    <w:p>
      <w:pPr>
        <w:pStyle w:val="Heading2"/>
      </w:pPr>
      <w:r>
        <w:t xml:space="preserve">Table 1: Results for 1000 rows</w:t>
      </w:r>
    </w:p>
    <w:bookmarkStart w:id="10" w:name="type-i-error-rate-mcar-data"/>
    <w:p>
      <w:pPr>
        <w:pStyle w:val="Heading3"/>
      </w:pPr>
      <w:r>
        <w:t xml:space="preserve">Type I Error Rate (MCAR data)</w:t>
      </w:r>
    </w:p>
    <w:p>
      <w:pPr>
        <w:pStyle w:val="FirstParagraph"/>
      </w:pPr>
      <w:r>
        <w:rPr>
          <w:i/>
          <w:iCs/>
        </w:rPr>
        <w:t xml:space="preserve">Target: ≤ alpha — values exceeding target marked 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α=0.01</w:t>
            </w:r>
          </w:p>
        </w:tc>
        <w:tc>
          <w:tcPr/>
          <w:p>
            <w:pPr>
              <w:pStyle w:val="Compact"/>
            </w:pPr>
            <w:r>
              <w:t xml:space="preserve">α=0.05</w:t>
            </w:r>
          </w:p>
        </w:tc>
        <w:tc>
          <w:tcPr/>
          <w:p>
            <w:pPr>
              <w:pStyle w:val="Compact"/>
            </w:pPr>
            <w:r>
              <w:t xml:space="preserve">α=0.1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Little’s test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✗ 2.5%</w:t>
            </w:r>
          </w:p>
        </w:tc>
        <w:tc>
          <w:tcPr/>
          <w:p>
            <w:pPr>
              <w:pStyle w:val="Compact"/>
            </w:pPr>
            <w:r>
              <w:t xml:space="preserve">✗ 9.7%</w:t>
            </w:r>
          </w:p>
        </w:tc>
        <w:tc>
          <w:tcPr/>
          <w:p>
            <w:pPr>
              <w:pStyle w:val="Compact"/>
            </w:pPr>
            <w:r>
              <w:t xml:space="preserve">✗ 18.3%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Little’s test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✗ 7.1%</w:t>
            </w:r>
          </w:p>
        </w:tc>
        <w:tc>
          <w:tcPr/>
          <w:p>
            <w:pPr>
              <w:pStyle w:val="Compact"/>
            </w:pPr>
            <w:r>
              <w:t xml:space="preserve">✗ 19.6%</w:t>
            </w:r>
          </w:p>
        </w:tc>
        <w:tc>
          <w:tcPr/>
          <w:p>
            <w:pPr>
              <w:pStyle w:val="Compact"/>
            </w:pPr>
            <w:r>
              <w:t xml:space="preserve">✗ 28.0%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Little’s test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✗ 20.5%</w:t>
            </w:r>
          </w:p>
        </w:tc>
        <w:tc>
          <w:tcPr/>
          <w:p>
            <w:pPr>
              <w:pStyle w:val="Compact"/>
            </w:pPr>
            <w:r>
              <w:t xml:space="preserve">✗ 38.6%</w:t>
            </w:r>
          </w:p>
        </w:tc>
        <w:tc>
          <w:tcPr/>
          <w:p>
            <w:pPr>
              <w:pStyle w:val="Compact"/>
            </w:pPr>
            <w:r>
              <w:t xml:space="preserve">✗ 50.1%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Welch t-test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✓ 0.0%</w:t>
            </w:r>
          </w:p>
        </w:tc>
        <w:tc>
          <w:tcPr/>
          <w:p>
            <w:pPr>
              <w:pStyle w:val="Compact"/>
            </w:pPr>
            <w:r>
              <w:t xml:space="preserve">✓ 0.0%</w:t>
            </w:r>
          </w:p>
        </w:tc>
        <w:tc>
          <w:tcPr/>
          <w:p>
            <w:pPr>
              <w:pStyle w:val="Compact"/>
            </w:pPr>
            <w:r>
              <w:t xml:space="preserve">✓ 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Welch t-test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✓ 0.0%</w:t>
            </w:r>
          </w:p>
        </w:tc>
        <w:tc>
          <w:tcPr/>
          <w:p>
            <w:pPr>
              <w:pStyle w:val="Compact"/>
            </w:pPr>
            <w:r>
              <w:t xml:space="preserve">✓ 0.0%</w:t>
            </w:r>
          </w:p>
        </w:tc>
        <w:tc>
          <w:tcPr/>
          <w:p>
            <w:pPr>
              <w:pStyle w:val="Compact"/>
            </w:pPr>
            <w:r>
              <w:t xml:space="preserve">✓ 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Welch t-test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✓ 0.0%</w:t>
            </w:r>
          </w:p>
        </w:tc>
        <w:tc>
          <w:tcPr/>
          <w:p>
            <w:pPr>
              <w:pStyle w:val="Compact"/>
            </w:pPr>
            <w:r>
              <w:t xml:space="preserve">✓ 0.0%</w:t>
            </w:r>
          </w:p>
        </w:tc>
        <w:tc>
          <w:tcPr/>
          <w:p>
            <w:pPr>
              <w:pStyle w:val="Compact"/>
            </w:pPr>
            <w:r>
              <w:t xml:space="preserve">✓ 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✗ 3.6%</w:t>
            </w:r>
          </w:p>
        </w:tc>
        <w:tc>
          <w:tcPr/>
          <w:p>
            <w:pPr>
              <w:pStyle w:val="Compact"/>
            </w:pPr>
            <w:r>
              <w:t xml:space="preserve">✗ 19.1%</w:t>
            </w:r>
          </w:p>
        </w:tc>
        <w:tc>
          <w:tcPr/>
          <w:p>
            <w:pPr>
              <w:pStyle w:val="Compact"/>
            </w:pPr>
            <w:r>
              <w:t xml:space="preserve">✗ 33.7%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✗ 4.6%</w:t>
            </w:r>
          </w:p>
        </w:tc>
        <w:tc>
          <w:tcPr/>
          <w:p>
            <w:pPr>
              <w:pStyle w:val="Compact"/>
            </w:pPr>
            <w:r>
              <w:t xml:space="preserve">✗ 20.0%</w:t>
            </w:r>
          </w:p>
        </w:tc>
        <w:tc>
          <w:tcPr/>
          <w:p>
            <w:pPr>
              <w:pStyle w:val="Compact"/>
            </w:pPr>
            <w:r>
              <w:t xml:space="preserve">✗ 35.0%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✓ 0.0%</w:t>
            </w:r>
          </w:p>
        </w:tc>
        <w:tc>
          <w:tcPr/>
          <w:p>
            <w:pPr>
              <w:pStyle w:val="Compact"/>
            </w:pPr>
            <w:r>
              <w:t xml:space="preserve">✓ 0.0%</w:t>
            </w:r>
          </w:p>
        </w:tc>
        <w:tc>
          <w:tcPr/>
          <w:p>
            <w:pPr>
              <w:pStyle w:val="Compact"/>
            </w:pPr>
            <w:r>
              <w:t xml:space="preserve">✓ 0.0%</w:t>
            </w:r>
          </w:p>
        </w:tc>
      </w:tr>
    </w:tbl>
    <w:bookmarkEnd w:id="10"/>
    <w:bookmarkStart w:id="11" w:name="statistical-power-mar-data"/>
    <w:p>
      <w:pPr>
        <w:pStyle w:val="Heading3"/>
      </w:pPr>
      <w:r>
        <w:t xml:space="preserve">Statistical Power (MAR data)</w:t>
      </w:r>
    </w:p>
    <w:p>
      <w:pPr>
        <w:pStyle w:val="FirstParagraph"/>
      </w:pPr>
      <w:r>
        <w:rPr>
          <w:i/>
          <w:iCs/>
        </w:rPr>
        <w:t xml:space="preserve">Higher is better — 100% = perfect detection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α=0.01</w:t>
            </w:r>
          </w:p>
        </w:tc>
        <w:tc>
          <w:tcPr/>
          <w:p>
            <w:pPr>
              <w:pStyle w:val="Compact"/>
            </w:pPr>
            <w:r>
              <w:t xml:space="preserve">α=0.05</w:t>
            </w:r>
          </w:p>
        </w:tc>
        <w:tc>
          <w:tcPr/>
          <w:p>
            <w:pPr>
              <w:pStyle w:val="Compact"/>
            </w:pPr>
            <w:r>
              <w:t xml:space="preserve">α=0.1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Little’s test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92.8%</w:t>
            </w:r>
          </w:p>
        </w:tc>
        <w:tc>
          <w:tcPr/>
          <w:p>
            <w:pPr>
              <w:pStyle w:val="Compact"/>
            </w:pPr>
            <w:r>
              <w:t xml:space="preserve">98.2%</w:t>
            </w:r>
          </w:p>
        </w:tc>
        <w:tc>
          <w:tcPr/>
          <w:p>
            <w:pPr>
              <w:pStyle w:val="Compact"/>
            </w:pPr>
            <w:r>
              <w:t xml:space="preserve">99.3%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Little’s test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Little’s test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Welch t-test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Welch t-test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Welch t-test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</w:tbl>
    <w:bookmarkEnd w:id="11"/>
    <w:bookmarkEnd w:id="12"/>
    <w:bookmarkStart w:id="15" w:name="table-2-results-for-5000-rows"/>
    <w:p>
      <w:pPr>
        <w:pStyle w:val="Heading2"/>
      </w:pPr>
      <w:r>
        <w:t xml:space="preserve">Table 2: Results for 5000 rows</w:t>
      </w:r>
    </w:p>
    <w:bookmarkStart w:id="13" w:name="type-i-error-rate-mcar-data-1"/>
    <w:p>
      <w:pPr>
        <w:pStyle w:val="Heading3"/>
      </w:pPr>
      <w:r>
        <w:t xml:space="preserve">Type I Error Rate (MCAR data)</w:t>
      </w:r>
    </w:p>
    <w:p>
      <w:pPr>
        <w:pStyle w:val="FirstParagraph"/>
      </w:pPr>
      <w:r>
        <w:rPr>
          <w:i/>
          <w:iCs/>
        </w:rPr>
        <w:t xml:space="preserve">Target: ≤ alpha — values exceeding target marked 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α=0.01</w:t>
            </w:r>
          </w:p>
        </w:tc>
        <w:tc>
          <w:tcPr/>
          <w:p>
            <w:pPr>
              <w:pStyle w:val="Compact"/>
            </w:pPr>
            <w:r>
              <w:t xml:space="preserve">α=0.05</w:t>
            </w:r>
          </w:p>
        </w:tc>
        <w:tc>
          <w:tcPr/>
          <w:p>
            <w:pPr>
              <w:pStyle w:val="Compact"/>
            </w:pPr>
            <w:r>
              <w:t xml:space="preserve">α=0.1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Little’s test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✗ 1.7%</w:t>
            </w:r>
          </w:p>
        </w:tc>
        <w:tc>
          <w:tcPr/>
          <w:p>
            <w:pPr>
              <w:pStyle w:val="Compact"/>
            </w:pPr>
            <w:r>
              <w:t xml:space="preserve">✗ 8.3%</w:t>
            </w:r>
          </w:p>
        </w:tc>
        <w:tc>
          <w:tcPr/>
          <w:p>
            <w:pPr>
              <w:pStyle w:val="Compact"/>
            </w:pPr>
            <w:r>
              <w:t xml:space="preserve">✗ 15.4%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Little’s test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✗ 6.2%</w:t>
            </w:r>
          </w:p>
        </w:tc>
        <w:tc>
          <w:tcPr/>
          <w:p>
            <w:pPr>
              <w:pStyle w:val="Compact"/>
            </w:pPr>
            <w:r>
              <w:t xml:space="preserve">✗ 17.1%</w:t>
            </w:r>
          </w:p>
        </w:tc>
        <w:tc>
          <w:tcPr/>
          <w:p>
            <w:pPr>
              <w:pStyle w:val="Compact"/>
            </w:pPr>
            <w:r>
              <w:t xml:space="preserve">✗ 26.4%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Little’s test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✗ 20.1%</w:t>
            </w:r>
          </w:p>
        </w:tc>
        <w:tc>
          <w:tcPr/>
          <w:p>
            <w:pPr>
              <w:pStyle w:val="Compact"/>
            </w:pPr>
            <w:r>
              <w:t xml:space="preserve">✗ 35.7%</w:t>
            </w:r>
          </w:p>
        </w:tc>
        <w:tc>
          <w:tcPr/>
          <w:p>
            <w:pPr>
              <w:pStyle w:val="Compact"/>
            </w:pPr>
            <w:r>
              <w:t xml:space="preserve">✗ 46.1%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Welch t-test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✓ 0.0%</w:t>
            </w:r>
          </w:p>
        </w:tc>
        <w:tc>
          <w:tcPr/>
          <w:p>
            <w:pPr>
              <w:pStyle w:val="Compact"/>
            </w:pPr>
            <w:r>
              <w:t xml:space="preserve">✓ 0.0%</w:t>
            </w:r>
          </w:p>
        </w:tc>
        <w:tc>
          <w:tcPr/>
          <w:p>
            <w:pPr>
              <w:pStyle w:val="Compact"/>
            </w:pPr>
            <w:r>
              <w:t xml:space="preserve">✓ 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Welch t-test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✓ 0.0%</w:t>
            </w:r>
          </w:p>
        </w:tc>
        <w:tc>
          <w:tcPr/>
          <w:p>
            <w:pPr>
              <w:pStyle w:val="Compact"/>
            </w:pPr>
            <w:r>
              <w:t xml:space="preserve">✓ 0.0%</w:t>
            </w:r>
          </w:p>
        </w:tc>
        <w:tc>
          <w:tcPr/>
          <w:p>
            <w:pPr>
              <w:pStyle w:val="Compact"/>
            </w:pPr>
            <w:r>
              <w:t xml:space="preserve">✓ 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Welch t-test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✓ 0.0%</w:t>
            </w:r>
          </w:p>
        </w:tc>
        <w:tc>
          <w:tcPr/>
          <w:p>
            <w:pPr>
              <w:pStyle w:val="Compact"/>
            </w:pPr>
            <w:r>
              <w:t xml:space="preserve">✓ 0.0%</w:t>
            </w:r>
          </w:p>
        </w:tc>
        <w:tc>
          <w:tcPr/>
          <w:p>
            <w:pPr>
              <w:pStyle w:val="Compact"/>
            </w:pPr>
            <w:r>
              <w:t xml:space="preserve">✓ 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✗ 4.5%</w:t>
            </w:r>
          </w:p>
        </w:tc>
        <w:tc>
          <w:tcPr/>
          <w:p>
            <w:pPr>
              <w:pStyle w:val="Compact"/>
            </w:pPr>
            <w:r>
              <w:t xml:space="preserve">✗ 18.3%</w:t>
            </w:r>
          </w:p>
        </w:tc>
        <w:tc>
          <w:tcPr/>
          <w:p>
            <w:pPr>
              <w:pStyle w:val="Compact"/>
            </w:pPr>
            <w:r>
              <w:t xml:space="preserve">✗ 33.4%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✗ 3.6%</w:t>
            </w:r>
          </w:p>
        </w:tc>
        <w:tc>
          <w:tcPr/>
          <w:p>
            <w:pPr>
              <w:pStyle w:val="Compact"/>
            </w:pPr>
            <w:r>
              <w:t xml:space="preserve">✗ 17.7%</w:t>
            </w:r>
          </w:p>
        </w:tc>
        <w:tc>
          <w:tcPr/>
          <w:p>
            <w:pPr>
              <w:pStyle w:val="Compact"/>
            </w:pPr>
            <w:r>
              <w:t xml:space="preserve">✗ 33.0%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✓ 0.0%</w:t>
            </w:r>
          </w:p>
        </w:tc>
        <w:tc>
          <w:tcPr/>
          <w:p>
            <w:pPr>
              <w:pStyle w:val="Compact"/>
            </w:pPr>
            <w:r>
              <w:t xml:space="preserve">✓ 0.0%</w:t>
            </w:r>
          </w:p>
        </w:tc>
        <w:tc>
          <w:tcPr/>
          <w:p>
            <w:pPr>
              <w:pStyle w:val="Compact"/>
            </w:pPr>
            <w:r>
              <w:t xml:space="preserve">✓ 0.0%</w:t>
            </w:r>
          </w:p>
        </w:tc>
      </w:tr>
    </w:tbl>
    <w:bookmarkEnd w:id="13"/>
    <w:bookmarkStart w:id="14" w:name="statistical-power-mar-data-1"/>
    <w:p>
      <w:pPr>
        <w:pStyle w:val="Heading3"/>
      </w:pPr>
      <w:r>
        <w:t xml:space="preserve">Statistical Power (MAR data)</w:t>
      </w:r>
    </w:p>
    <w:p>
      <w:pPr>
        <w:pStyle w:val="FirstParagraph"/>
      </w:pPr>
      <w:r>
        <w:rPr>
          <w:i/>
          <w:iCs/>
        </w:rPr>
        <w:t xml:space="preserve">Higher is better — 100% = perfect detection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α=0.01</w:t>
            </w:r>
          </w:p>
        </w:tc>
        <w:tc>
          <w:tcPr/>
          <w:p>
            <w:pPr>
              <w:pStyle w:val="Compact"/>
            </w:pPr>
            <w:r>
              <w:t xml:space="preserve">α=0.05</w:t>
            </w:r>
          </w:p>
        </w:tc>
        <w:tc>
          <w:tcPr/>
          <w:p>
            <w:pPr>
              <w:pStyle w:val="Compact"/>
            </w:pPr>
            <w:r>
              <w:t xml:space="preserve">α=0.1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Little’s test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Little’s test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Little’s test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Welch t-test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Welch t-test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Welch t-test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</w:tbl>
    <w:bookmarkEnd w:id="14"/>
    <w:bookmarkEnd w:id="15"/>
    <w:bookmarkStart w:id="19" w:name="interpretation"/>
    <w:p>
      <w:pPr>
        <w:pStyle w:val="Heading2"/>
      </w:pPr>
      <w:r>
        <w:t xml:space="preserve">Interpretation</w:t>
      </w:r>
    </w:p>
    <w:bookmarkStart w:id="16" w:name="type-i-error-calibration"/>
    <w:p>
      <w:pPr>
        <w:pStyle w:val="Heading3"/>
      </w:pPr>
      <w:r>
        <w:t xml:space="preserve">Type I Error (calibration)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Welch t-test</w:t>
      </w:r>
      <w:r>
        <w:t xml:space="preserve"> </w:t>
      </w:r>
      <w:r>
        <w:t xml:space="preserve">is the only test maintaining nominal Type I error</w:t>
      </w:r>
      <w:r>
        <w:t xml:space="preserve"> </w:t>
      </w:r>
      <w:r>
        <w:t xml:space="preserve">rates (0.0%) across all conditions: both sample sizes, all missing rates,</w:t>
      </w:r>
      <w:r>
        <w:t xml:space="preserve"> </w:t>
      </w:r>
      <w:r>
        <w:t xml:space="preserve">and all alpha levels tested.</w:t>
      </w:r>
    </w:p>
    <w:p>
      <w:pPr>
        <w:pStyle w:val="BodyText"/>
      </w:pPr>
      <w:r>
        <w:rPr>
          <w:b/>
          <w:bCs/>
        </w:rPr>
        <w:t xml:space="preserve">Little’s test</w:t>
      </w:r>
      <w:r>
        <w:t xml:space="preserve"> </w:t>
      </w:r>
      <w:r>
        <w:t xml:space="preserve">exhibits systematic Type I error inflation that increases</w:t>
      </w:r>
      <w:r>
        <w:t xml:space="preserve"> </w:t>
      </w:r>
      <w:r>
        <w:t xml:space="preserve">monotonically with missingness rate, regardless of sample size — indicating</w:t>
      </w:r>
      <w:r>
        <w:t xml:space="preserve"> </w:t>
      </w:r>
      <w:r>
        <w:t xml:space="preserve">a structural limitation of the chi-square approximation when the number of</w:t>
      </w:r>
      <w:r>
        <w:t xml:space="preserve"> </w:t>
      </w:r>
      <w:r>
        <w:t xml:space="preserve">distinct missing patterns is large.</w:t>
      </w:r>
    </w:p>
    <w:p>
      <w:pPr>
        <w:pStyle w:val="BodyText"/>
      </w:pPr>
      <w:r>
        <w:rPr>
          <w:b/>
          <w:bCs/>
        </w:rPr>
        <w:t xml:space="preserve">Logistic regression</w:t>
      </w:r>
      <w:r>
        <w:t xml:space="preserve"> </w:t>
      </w:r>
      <w:r>
        <w:t xml:space="preserve">shows an inverse pattern: inflated Type I error at</w:t>
      </w:r>
      <w:r>
        <w:t xml:space="preserve"> </w:t>
      </w:r>
      <w:r>
        <w:t xml:space="preserve">low missingness (10-20%) and nominal rates at high missingness (30%).</w:t>
      </w:r>
    </w:p>
    <w:bookmarkEnd w:id="16"/>
    <w:bookmarkStart w:id="17" w:name="X63590ae55d3fb7b323b063c760f8179c518466c"/>
    <w:p>
      <w:pPr>
        <w:pStyle w:val="Heading3"/>
      </w:pPr>
      <w:r>
        <w:t xml:space="preserve">Statistical Power (Type II error = 1 - Power)</w:t>
      </w:r>
    </w:p>
    <w:p>
      <w:pPr>
        <w:pStyle w:val="FirstParagraph"/>
      </w:pPr>
      <w:r>
        <w:t xml:space="preserve">All three tests achieve near-perfect or perfect power across all conditions.</w:t>
      </w:r>
      <w:r>
        <w:t xml:space="preserve"> </w:t>
      </w:r>
      <w:r>
        <w:t xml:space="preserve">The only exception is Little’s test at 10% missing, n=1000 (Power=98.2%,</w:t>
      </w:r>
      <w:r>
        <w:t xml:space="preserve"> </w:t>
      </w:r>
      <w:r>
        <w:t xml:space="preserve">Type II=1.8%) — expected, as detecting MAR with only 10% missing values</w:t>
      </w:r>
      <w:r>
        <w:t xml:space="preserve"> </w:t>
      </w:r>
      <w:r>
        <w:t xml:space="preserve">is inherently harder.</w:t>
      </w:r>
    </w:p>
    <w:bookmarkEnd w:id="17"/>
    <w:bookmarkStart w:id="18" w:name="recommendation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The Welch t-test is recommended as the primary MCAR diagnostic test,</w:t>
      </w:r>
      <w:r>
        <w:t xml:space="preserve"> </w:t>
      </w:r>
      <w:r>
        <w:t xml:space="preserve">as it is the only test controlling both Type I and Type II error</w:t>
      </w:r>
      <w:r>
        <w:t xml:space="preserve"> </w:t>
      </w:r>
      <w:r>
        <w:t xml:space="preserve">simultaneously across all conditions. Little’s test and logistic</w:t>
      </w:r>
      <w:r>
        <w:t xml:space="preserve"> </w:t>
      </w:r>
      <w:r>
        <w:t xml:space="preserve">regression serve as confirmation tests only.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2026-03-06T05:36:32Z</dcterms:created>
  <dcterms:modified xsi:type="dcterms:W3CDTF">2026-03-06T05:36:32Z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