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E779" w14:textId="4189F3A0" w:rsidR="00B56162" w:rsidRPr="00E525C5" w:rsidRDefault="00E525C5">
      <w:pPr>
        <w:rPr>
          <w:u w:val="single"/>
        </w:rPr>
      </w:pPr>
      <w:r w:rsidRPr="00E525C5">
        <w:t>CODIGO CIVIL Código CC (6-</w:t>
      </w:r>
      <w:proofErr w:type="gramStart"/>
      <w:r w:rsidRPr="00E525C5">
        <w:t>Agosto</w:t>
      </w:r>
      <w:proofErr w:type="gramEnd"/>
      <w:r w:rsidRPr="00E525C5">
        <w:t xml:space="preserve">-1975) (Vigente) Código Civil aprobado por DL 12760 de 06/08/1975 El Texto Base utilizado por </w:t>
      </w:r>
      <w:proofErr w:type="spellStart"/>
      <w:r w:rsidRPr="00E525C5">
        <w:t>InfoLeyes</w:t>
      </w:r>
      <w:proofErr w:type="spellEnd"/>
      <w:r w:rsidRPr="00E525C5">
        <w:t xml:space="preserve"> corresponde al texto aprobado por DL 12760 de 06/08/1975 Por mandato de la Disposición Final Única (Derogatorias) de la Ley 018 de 16/06/2010 (Ley del Órgano Electoral Plurinacional) quedan derogadas todas las disposiciones del Código Civil contrarias a sus estipulaciones. LIBRO PRIMERO DE LAS PERSONAS TITULO I DE LAS PERSONAS INDIVIDUALES CAPITULO I DEL COMIENZO Y FIN DE LA PERSONALIDAD ARTÍCULO 1. (COMIENZO DE LA PERSONALIDAD</w:t>
      </w:r>
      <w:proofErr w:type="gramStart"/>
      <w:r w:rsidRPr="00E525C5">
        <w:t>).I.</w:t>
      </w:r>
      <w:proofErr w:type="gramEnd"/>
      <w:r w:rsidRPr="00E525C5">
        <w:t xml:space="preserve"> II. El nacimiento señala el comienzo de la personalidad. Al que está por nacer se lo considera nacido para todo lo que pudiera favorecerle, y para ser tenido como persona basta nacer con vida. III. El nacimiento con vida se presume, salva la prueba contraria, siendo indiferente que se produzca naturalmente o por procedimientos quirúrgicos. ARTÍCULO 2. (FIN DE LA PERSONALIDAD Y CONMORIENCIA</w:t>
      </w:r>
      <w:proofErr w:type="gramStart"/>
      <w:r w:rsidRPr="00E525C5">
        <w:t>).I.</w:t>
      </w:r>
      <w:proofErr w:type="gramEnd"/>
      <w:r w:rsidRPr="00E525C5">
        <w:t xml:space="preserve"> II. La muerte pone fin a la personalidad. Cuando en un siniestro o accidente mueren varias personas y no puede comprobarse la premoriencia para determinar un efecto jurídico, se considera que todas murieron al mismo tiempo. CAPITULO II </w:t>
      </w:r>
      <w:proofErr w:type="gramStart"/>
      <w:r w:rsidRPr="00E525C5">
        <w:t>http://bolivia.infoleyes.com/shownorm.php?id=821[</w:t>
      </w:r>
      <w:proofErr w:type="gramEnd"/>
      <w:r w:rsidRPr="00E525C5">
        <w:t xml:space="preserve">12/28/2011 12:31:09 PM]CODIGO CIVIL - Código CC - Bolivia - </w:t>
      </w:r>
      <w:proofErr w:type="spellStart"/>
      <w:r w:rsidRPr="00E525C5">
        <w:t>InfoLeyes</w:t>
      </w:r>
      <w:proofErr w:type="spellEnd"/>
      <w:r w:rsidRPr="00E525C5">
        <w:t xml:space="preserve"> - Legislación online DE LA CAPACIDAD ARTÍCULO 3. (CAPACIDAD JURÍDICA; LIMITACIONES</w:t>
      </w:r>
      <w:proofErr w:type="gramStart"/>
      <w:r w:rsidRPr="00E525C5">
        <w:t>).Toda</w:t>
      </w:r>
      <w:proofErr w:type="gramEnd"/>
      <w:r w:rsidRPr="00E525C5">
        <w:t xml:space="preserve"> persona tiene capacidad jurídica. Esta capacidad experimenta limitaciones parciales sólo en los casos especialmente determinados por la ley. ARTÍCULO 4. (MAYORÍA DE EDAD Y CAPACIDAD DE OBRAR</w:t>
      </w:r>
      <w:proofErr w:type="gramStart"/>
      <w:r w:rsidRPr="00E525C5">
        <w:t>).I.</w:t>
      </w:r>
      <w:proofErr w:type="gramEnd"/>
      <w:r w:rsidRPr="00E525C5">
        <w:t xml:space="preserve"> II. La mayoría de edad se adquiere a los dieciocho años cumplidos. El mayor de edad tiene capacidad para realizar por sí mismo todos los actos de la vida civil, salvo las excepciones establecidas por Ley. ARTÍCULO 5. (INCAPACIDAD DE OBRAR</w:t>
      </w:r>
      <w:proofErr w:type="gramStart"/>
      <w:r w:rsidRPr="00E525C5">
        <w:t>).I.</w:t>
      </w:r>
      <w:proofErr w:type="gramEnd"/>
      <w:r w:rsidRPr="00E525C5">
        <w:t xml:space="preserve"> Incapaces de obrar son: 1. Los menores de edad, salvo lo dispuesto en los parágrafos III y IV de este artículo y las excepciones legales. 2. II. Los interdictos declarados. Los actos civiles correspondientes a los incapaces de obrar se realizan por sus representantes, con arreglo a la ley. III. Sin embargo el menor puede, sin autorización previa de su representante, ejercer por cuenta propia la profesión para la cual se haya habilitado mediante un título expedido por universidades o institutos de educación superior o especial. IV. El menor puede también administrar y disponer libremente del producto de su trabajo. CAPITULO III DE LOS DERECHOS DE LA PERSONALIDAD ARTÍCULO 6. (PROTECCIÓN A LA VIDA</w:t>
      </w:r>
      <w:proofErr w:type="gramStart"/>
      <w:r w:rsidRPr="00E525C5">
        <w:t>).La</w:t>
      </w:r>
      <w:proofErr w:type="gramEnd"/>
      <w:r w:rsidRPr="00E525C5">
        <w:t xml:space="preserve"> protección a la vida y a la integridad física de las personas se ejerce conforme a las normas establecidas en el Código presente y las demás leyes pertinentes. ARTÍCULO 7. (ACTOS DE DISPOSICIONES SOBRE EL PROPIO CUERPO</w:t>
      </w:r>
      <w:proofErr w:type="gramStart"/>
      <w:r w:rsidRPr="00E525C5">
        <w:t>).I.</w:t>
      </w:r>
      <w:proofErr w:type="gramEnd"/>
      <w:r w:rsidRPr="00E525C5">
        <w:t xml:space="preserve"> Los actos por los cuales una persona dispone sobre todo o parte de su cuerpo están prohibidos cuando debiendo ejecutarse en vida del donante, pueden ocasionar una lesión grave y definitiva a su integridad física o son de otra manera contrarios al orden público o a las buenas costumbres. II. III. En la donación de órganos que se van a trasplantar en vida del donante, serán necesarios, para la ejecución quirúrgica, el informe previo y el control por una comisión que designará el Colegio Médico. Una persona puede revocar siempre los actos de disposición sobre su propio cuerpo. ARTÍCULO 8. (DERECHO A LA LIBERTAD PERSONAL</w:t>
      </w:r>
      <w:proofErr w:type="gramStart"/>
      <w:r w:rsidRPr="00E525C5">
        <w:t>).http://bolivia.infoleyes.com/shownorm.php?id=821</w:t>
      </w:r>
      <w:proofErr w:type="gramEnd"/>
      <w:r w:rsidRPr="00E525C5">
        <w:t xml:space="preserve">[12/28/2011 12:31:09 PM]CODIGO CIVIL - Código CC - Bolivia - </w:t>
      </w:r>
      <w:proofErr w:type="spellStart"/>
      <w:r w:rsidRPr="00E525C5">
        <w:t>InfoLeyes</w:t>
      </w:r>
      <w:proofErr w:type="spellEnd"/>
      <w:r w:rsidRPr="00E525C5">
        <w:t xml:space="preserve"> - Legislación online Se garantiza la libertad personal conforme a las normas establecidas en las leyes que regulan su ejercicio, sin que fuera de ellas nadie pueda privar ni restringir la libertad de otro. ARTÍCULO 9. </w:t>
      </w:r>
      <w:r w:rsidRPr="00E525C5">
        <w:lastRenderedPageBreak/>
        <w:t>(DERECHO AL NOMBRE</w:t>
      </w:r>
      <w:proofErr w:type="gramStart"/>
      <w:r w:rsidRPr="00E525C5">
        <w:t>).I.</w:t>
      </w:r>
      <w:proofErr w:type="gramEnd"/>
      <w:r w:rsidRPr="00E525C5">
        <w:t xml:space="preserve"> Toda persona tiene derecho al nombre que con arreglo a ley le corresponde. El nombre comprende el nombre propio o individual y el apellido paterno y materno, salvo lo dispuesto en el artículo siguiente. II. El cambio, adición o rectificación del nombre sólo se admite en los casos y con las formalidades que la ley prevé. ARTÍCULO 10. (APELLIDO DEL HIJO</w:t>
      </w:r>
      <w:proofErr w:type="gramStart"/>
      <w:r w:rsidRPr="00E525C5">
        <w:t>).El</w:t>
      </w:r>
      <w:proofErr w:type="gramEnd"/>
      <w:r w:rsidRPr="00E525C5">
        <w:t xml:space="preserve"> hijo lleva el apellido o apellidos del progenitor o progenitores respecto a los cuales se halla establecida su filiación. ARTÍCULO 11. (APELLIDO DE LA MUJER CASADA</w:t>
      </w:r>
      <w:proofErr w:type="gramStart"/>
      <w:r w:rsidRPr="00E525C5">
        <w:t>).I.</w:t>
      </w:r>
      <w:proofErr w:type="gramEnd"/>
      <w:r w:rsidRPr="00E525C5">
        <w:t xml:space="preserve"> La mujer casada conserva su propio apellido, pudiendo agregar el de su marido, precedido de la preposición "de" como distintivo de su estado civil, y seguir usándolo aún en estado de viudez. II. III. En los títulos profesionales usará su apellido propio. La mujer divorciada no tiene derecho a seguir usando el apellido de su </w:t>
      </w:r>
      <w:proofErr w:type="spellStart"/>
      <w:r w:rsidRPr="00E525C5">
        <w:t>ex-marido</w:t>
      </w:r>
      <w:proofErr w:type="spellEnd"/>
      <w:r w:rsidRPr="00E525C5">
        <w:t>, salvo convenio entre partes, o, a falta de él, con autorización del juez, en mérito al prestigio ya logrado con ese apellido en la actividad profesional, artística o literaria. IV. En otros casos el uso del nombre se rige por las disposiciones particulares de la ley. ARTÍCULO 12. (PROTECCIÓN DEL NOMBRE</w:t>
      </w:r>
      <w:proofErr w:type="gramStart"/>
      <w:r w:rsidRPr="00E525C5">
        <w:t>).La</w:t>
      </w:r>
      <w:proofErr w:type="gramEnd"/>
      <w:r w:rsidRPr="00E525C5">
        <w:t xml:space="preserve"> persona a quien se discuta el derecho al nombre que lleva o sufra algún perjuicio por el uso indebido que de ese nombre haga otra persona, puede pedir judicialmente el reconocimiento de su derecho o la cesación del uso </w:t>
      </w:r>
      <w:proofErr w:type="gramStart"/>
      <w:r w:rsidRPr="00E525C5">
        <w:t>lesivo .</w:t>
      </w:r>
      <w:proofErr w:type="gramEnd"/>
      <w:r w:rsidRPr="00E525C5">
        <w:t xml:space="preserve"> El juez puede ordenar que la sentencia se publique por la prensa. ARTÍCULO 13. (SEUDÓNIMO</w:t>
      </w:r>
      <w:proofErr w:type="gramStart"/>
      <w:r w:rsidRPr="00E525C5">
        <w:t>).Cuando</w:t>
      </w:r>
      <w:proofErr w:type="gramEnd"/>
      <w:r w:rsidRPr="00E525C5">
        <w:t xml:space="preserve"> el seudónimo adquiere por su difusión la importancia del nombre, puede ser también protegido según lo previsto por el artículo anterior. ARTÍCULO 14. (NEGATIVA DE EXAMEN O TRATAMIENTO MEDICO</w:t>
      </w:r>
      <w:proofErr w:type="gramStart"/>
      <w:r w:rsidRPr="00E525C5">
        <w:t>).La</w:t>
      </w:r>
      <w:proofErr w:type="gramEnd"/>
      <w:r w:rsidRPr="00E525C5">
        <w:t xml:space="preserve"> persona puede rehusar someterse a un examen o tratamiento médico quirúrgico, a menos que se halle obligada por disposición de la ley o reglamento administrativo. ARTÍCULO 15. (NULIDAD</w:t>
      </w:r>
      <w:proofErr w:type="gramStart"/>
      <w:r w:rsidRPr="00E525C5">
        <w:t>).Son</w:t>
      </w:r>
      <w:proofErr w:type="gramEnd"/>
      <w:r w:rsidRPr="00E525C5">
        <w:t xml:space="preserve"> nulas toda confesión y toda manifestación de voluntad obtenidas por procedimientos lesivos a la personalidad. ARTÍCULO 16. (DERECHO A LA IMAGEN</w:t>
      </w:r>
      <w:proofErr w:type="gramStart"/>
      <w:r w:rsidRPr="00E525C5">
        <w:t>).I.</w:t>
      </w:r>
      <w:proofErr w:type="gramEnd"/>
      <w:r w:rsidRPr="00E525C5">
        <w:t xml:space="preserve"> Cuando se comercia, publica, exhibe o expone la imagen de una persona lesionando su reputación o </w:t>
      </w:r>
      <w:proofErr w:type="gramStart"/>
      <w:r w:rsidRPr="00E525C5">
        <w:t>http://bolivia.infoleyes.com/shownorm.php?id=821[</w:t>
      </w:r>
      <w:proofErr w:type="gramEnd"/>
      <w:r w:rsidRPr="00E525C5">
        <w:t xml:space="preserve">12/28/2011 12:31:09 PM]CODIGO CIVIL - Código CC - Bolivia - </w:t>
      </w:r>
      <w:proofErr w:type="spellStart"/>
      <w:r w:rsidRPr="00E525C5">
        <w:t>InfoLeyes</w:t>
      </w:r>
      <w:proofErr w:type="spellEnd"/>
      <w:r w:rsidRPr="00E525C5">
        <w:t xml:space="preserve"> - Legislación online decoro, la parte interesada y, en su defecto, su cónyuge, descendientes o ascendientes pueden pedir, salvo los casos justificados por la ley, que el juez haga cesar el hecho lesivo. II. Se comprende en la regla anterior la reproducción de la voz de una persona. ARTÍCULO 17. (DERECHO AL HONOR</w:t>
      </w:r>
      <w:proofErr w:type="gramStart"/>
      <w:r w:rsidRPr="00E525C5">
        <w:t>).Toda</w:t>
      </w:r>
      <w:proofErr w:type="gramEnd"/>
      <w:r w:rsidRPr="00E525C5">
        <w:t xml:space="preserve"> persona tiene derecho a que sea respetado su buen nombre. La protección al honor se efectúa por este Código y demás leyes pertinentes. ARTÍCULO 18. (DERECHO A LA INTIMIDAD</w:t>
      </w:r>
      <w:proofErr w:type="gramStart"/>
      <w:r w:rsidRPr="00E525C5">
        <w:t>).Nadie</w:t>
      </w:r>
      <w:proofErr w:type="gramEnd"/>
      <w:r w:rsidRPr="00E525C5">
        <w:t xml:space="preserve"> puede perturbar ni divulgar la vida íntima de una persona. Se tendrá en cuenta la condición de ella. Se salva los casos previstos por la ley. ARTÍCULO 19. (INVIOLABILIDAD DE LAS COMUNICACIONES Y PAPELES PRIVADOS</w:t>
      </w:r>
      <w:proofErr w:type="gramStart"/>
      <w:r w:rsidRPr="00E525C5">
        <w:t>).I.</w:t>
      </w:r>
      <w:proofErr w:type="gramEnd"/>
      <w:r w:rsidRPr="00E525C5">
        <w:t xml:space="preserve"> Las comunicaciones, la correspondencia epistolar y otros papeles privados son inviolables y no pueden ser ocupados sino en los casos previstos por las leyes y con orden escrita de la autoridad competente. II. No surten ningún efecto legal las cartas y otros papeles privados que han sido violados o sustraídos, ni las grabaciones clandestinas de conversaciones o comunicaciones privadas. ARTÍCULO 20. (CARTAS MISIVAS CONFIDENCIALES</w:t>
      </w:r>
      <w:proofErr w:type="gramStart"/>
      <w:r w:rsidRPr="00E525C5">
        <w:t>).I.</w:t>
      </w:r>
      <w:proofErr w:type="gramEnd"/>
      <w:r w:rsidRPr="00E525C5">
        <w:t xml:space="preserve"> El destinatario de una carta misiva de carácter confidencial no puede divulgar su contenido sin el asentimiento expreso del autor o de sus herederos forzosos, pero puede presentarla en juicio si tiene un interés personal serio y legítimo. II. Si fallece el destinatario, el autor o sus herederos forzosos pueden pedir al juez ordene se restituya, o sea destruida, o se deposite la carta misiva en poder de persona calificada, u otras medidas apropiadas ARTÍCULO 21. (NATURALEZA DE </w:t>
      </w:r>
      <w:r w:rsidRPr="00E525C5">
        <w:lastRenderedPageBreak/>
        <w:t>LOS DERECHOS DE LA PERSONALIDAD Y SU LIMITACIÓN</w:t>
      </w:r>
      <w:proofErr w:type="gramStart"/>
      <w:r w:rsidRPr="00E525C5">
        <w:t>).Los</w:t>
      </w:r>
      <w:proofErr w:type="gramEnd"/>
      <w:r w:rsidRPr="00E525C5">
        <w:t xml:space="preserve"> derechos de la personalidad son inherentes al ser humano y se hallan fuera del comercio. Cualquier limitación a su libre ejercicio es nula cuando afecta al orden público o a las buenas costumbres. ARTÍCULO 22. (IGUALDAD</w:t>
      </w:r>
      <w:proofErr w:type="gramStart"/>
      <w:r w:rsidRPr="00E525C5">
        <w:t>).Los</w:t>
      </w:r>
      <w:proofErr w:type="gramEnd"/>
      <w:r w:rsidRPr="00E525C5">
        <w:t xml:space="preserve"> derechos de la personalidad y otros establecidos por el presente Código, se ejercen por las personas individuales sin ninguna discriminación. ARTÍCULO 23. (INVIOLABILIDAD</w:t>
      </w:r>
      <w:proofErr w:type="gramStart"/>
      <w:r w:rsidRPr="00E525C5">
        <w:t>).Los</w:t>
      </w:r>
      <w:proofErr w:type="gramEnd"/>
      <w:r w:rsidRPr="00E525C5">
        <w:t xml:space="preserve"> derechos de la personalidad son inviolables y cualquier hecho contra ellos confiere al damnificado la facultad de demandar el cese de ese hecho, aparte del resarcimiento por el daño material o moral.</w:t>
      </w:r>
    </w:p>
    <w:sectPr w:rsidR="00B56162" w:rsidRPr="00E525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DC"/>
    <w:rsid w:val="000767DC"/>
    <w:rsid w:val="008137CC"/>
    <w:rsid w:val="00B56162"/>
    <w:rsid w:val="00D5539F"/>
    <w:rsid w:val="00E525C5"/>
    <w:rsid w:val="00EB25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57E72-FFB0-452B-9C58-520DA61D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6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6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67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67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67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67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67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67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67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67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67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67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67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67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67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67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67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67DC"/>
    <w:rPr>
      <w:rFonts w:eastAsiaTheme="majorEastAsia" w:cstheme="majorBidi"/>
      <w:color w:val="272727" w:themeColor="text1" w:themeTint="D8"/>
    </w:rPr>
  </w:style>
  <w:style w:type="paragraph" w:styleId="Ttulo">
    <w:name w:val="Title"/>
    <w:basedOn w:val="Normal"/>
    <w:next w:val="Normal"/>
    <w:link w:val="TtuloCar"/>
    <w:uiPriority w:val="10"/>
    <w:qFormat/>
    <w:rsid w:val="0007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67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67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67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67DC"/>
    <w:pPr>
      <w:spacing w:before="160"/>
      <w:jc w:val="center"/>
    </w:pPr>
    <w:rPr>
      <w:i/>
      <w:iCs/>
      <w:color w:val="404040" w:themeColor="text1" w:themeTint="BF"/>
    </w:rPr>
  </w:style>
  <w:style w:type="character" w:customStyle="1" w:styleId="CitaCar">
    <w:name w:val="Cita Car"/>
    <w:basedOn w:val="Fuentedeprrafopredeter"/>
    <w:link w:val="Cita"/>
    <w:uiPriority w:val="29"/>
    <w:rsid w:val="000767DC"/>
    <w:rPr>
      <w:i/>
      <w:iCs/>
      <w:color w:val="404040" w:themeColor="text1" w:themeTint="BF"/>
    </w:rPr>
  </w:style>
  <w:style w:type="paragraph" w:styleId="Prrafodelista">
    <w:name w:val="List Paragraph"/>
    <w:basedOn w:val="Normal"/>
    <w:uiPriority w:val="34"/>
    <w:qFormat/>
    <w:rsid w:val="000767DC"/>
    <w:pPr>
      <w:ind w:left="720"/>
      <w:contextualSpacing/>
    </w:pPr>
  </w:style>
  <w:style w:type="character" w:styleId="nfasisintenso">
    <w:name w:val="Intense Emphasis"/>
    <w:basedOn w:val="Fuentedeprrafopredeter"/>
    <w:uiPriority w:val="21"/>
    <w:qFormat/>
    <w:rsid w:val="000767DC"/>
    <w:rPr>
      <w:i/>
      <w:iCs/>
      <w:color w:val="0F4761" w:themeColor="accent1" w:themeShade="BF"/>
    </w:rPr>
  </w:style>
  <w:style w:type="paragraph" w:styleId="Citadestacada">
    <w:name w:val="Intense Quote"/>
    <w:basedOn w:val="Normal"/>
    <w:next w:val="Normal"/>
    <w:link w:val="CitadestacadaCar"/>
    <w:uiPriority w:val="30"/>
    <w:qFormat/>
    <w:rsid w:val="0007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67DC"/>
    <w:rPr>
      <w:i/>
      <w:iCs/>
      <w:color w:val="0F4761" w:themeColor="accent1" w:themeShade="BF"/>
    </w:rPr>
  </w:style>
  <w:style w:type="character" w:styleId="Referenciaintensa">
    <w:name w:val="Intense Reference"/>
    <w:basedOn w:val="Fuentedeprrafopredeter"/>
    <w:uiPriority w:val="32"/>
    <w:qFormat/>
    <w:rsid w:val="00076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1276</Words>
  <Characters>7023</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Cuellar</dc:creator>
  <cp:keywords/>
  <dc:description/>
  <cp:lastModifiedBy>Lourdes Cuellar</cp:lastModifiedBy>
  <cp:revision>2</cp:revision>
  <dcterms:created xsi:type="dcterms:W3CDTF">2026-03-09T15:13:00Z</dcterms:created>
  <dcterms:modified xsi:type="dcterms:W3CDTF">2026-03-09T15:13:00Z</dcterms:modified>
</cp:coreProperties>
</file>