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résoudre boucle vectorielle fermée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1. Newton-Raphson : résolution numérique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2. Notation complexe : partie réelle=0, partie imaginaire =0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