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Solidworks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reférencer des variables globales d'un assemblage et les utiliser dans les pièces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mettre le fichier assemblage dans le même dossier que les pièces.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créer les variables dans l'assemblage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ouvrir la pièce,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ouvrir l'onglet equation,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choisir la côte, cliquer dessus et mettre l'equation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référencer : nom_variable@nom_assemblage.SLDASM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peut référencer une variable à partir d'une pièce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nom_variable@nom_piece.SLDPRT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SolidWorks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Top Down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