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66752"/>
          <w:sz w:val="64"/>
        </w:rPr>
        <w:t>MOMIRA</w:t>
      </w:r>
    </w:p>
    <w:p>
      <w:pPr>
        <w:jc w:val="center"/>
      </w:pPr>
      <w:r>
        <w:rPr>
          <w:b/>
          <w:color w:val="566752"/>
          <w:sz w:val="30"/>
        </w:rPr>
        <w:t>OPTION 02 — IVORY + SAGE</w:t>
      </w:r>
    </w:p>
    <w:p>
      <w:pPr>
        <w:jc w:val="center"/>
      </w:pPr>
      <w:r>
        <w:rPr>
          <w:b/>
          <w:sz w:val="20"/>
        </w:rPr>
        <w:t>PROFESSIONAL BRAND SPECIFICATION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44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IRA_OPTION_2_MASTER_REFERENC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4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MASTER VISUAL REFERENCE — OPTION 02</w:t>
      </w:r>
    </w:p>
    <w:p>
      <w:pPr>
        <w:jc w:val="center"/>
      </w:pPr>
      <w:r>
        <w:rPr>
          <w:i/>
        </w:rPr>
        <w:t>Prepared for Website Development • Production • Packaging • Digital Brand Applications</w:t>
      </w:r>
    </w:p>
    <w:p>
      <w:r>
        <w:br w:type="page"/>
      </w:r>
    </w:p>
    <w:p>
      <w:pPr>
        <w:pStyle w:val="Heading1"/>
      </w:pPr>
      <w:r>
        <w:t>01  |  BRAND SYSTEM OVERVIEW</w:t>
      </w:r>
    </w:p>
    <w:p>
      <w:r>
        <w:t>This document defines the approved visual direction for MOMIRA ORGANIC under Option 02: Warm Ivory + Deep Sage. It is intended for direct handoff to the website development company, garment/production company, packaging vendors, printers and other brand partners.</w:t>
      </w:r>
    </w:p>
    <w:p>
      <w:r>
        <w:t>Brand character: premium • natural • calm • gentle • airy • modern • child-friendly.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566752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84"/>
            <w:shd w:fill="566752"/>
          </w:tcPr>
          <w:p>
            <w:r>
              <w:rPr>
                <w:b/>
                <w:color w:val="FFFFFF"/>
                <w:sz w:val="18"/>
              </w:rPr>
              <w:t>Approved specification</w:t>
            </w:r>
          </w:p>
        </w:tc>
      </w:tr>
      <w:tr>
        <w:tc>
          <w:tcPr>
            <w:tcW w:type="dxa" w:w="5184"/>
          </w:tcPr>
          <w:p>
            <w:r>
              <w:t>Brand</w:t>
            </w:r>
          </w:p>
        </w:tc>
        <w:tc>
          <w:tcPr>
            <w:tcW w:type="dxa" w:w="5184"/>
          </w:tcPr>
          <w:p>
            <w:r>
              <w:t>MOMIRA</w:t>
            </w:r>
          </w:p>
        </w:tc>
      </w:tr>
      <w:tr>
        <w:tc>
          <w:tcPr>
            <w:tcW w:type="dxa" w:w="5184"/>
          </w:tcPr>
          <w:p>
            <w:r>
              <w:t>Descriptor</w:t>
            </w:r>
          </w:p>
        </w:tc>
        <w:tc>
          <w:tcPr>
            <w:tcW w:type="dxa" w:w="5184"/>
          </w:tcPr>
          <w:p>
            <w:r>
              <w:t>ORGANIC</w:t>
            </w:r>
          </w:p>
        </w:tc>
      </w:tr>
      <w:tr>
        <w:tc>
          <w:tcPr>
            <w:tcW w:type="dxa" w:w="5184"/>
          </w:tcPr>
          <w:p>
            <w:r>
              <w:t>Primary direction</w:t>
            </w:r>
          </w:p>
        </w:tc>
        <w:tc>
          <w:tcPr>
            <w:tcW w:type="dxa" w:w="5184"/>
          </w:tcPr>
          <w:p>
            <w:r>
              <w:t>Warm Ivory + Deep Sage</w:t>
            </w:r>
          </w:p>
        </w:tc>
      </w:tr>
      <w:tr>
        <w:tc>
          <w:tcPr>
            <w:tcW w:type="dxa" w:w="5184"/>
          </w:tcPr>
          <w:p>
            <w:r>
              <w:t>Primary logo lock-up</w:t>
            </w:r>
          </w:p>
        </w:tc>
        <w:tc>
          <w:tcPr>
            <w:tcW w:type="dxa" w:w="5184"/>
          </w:tcPr>
          <w:p>
            <w:r>
              <w:t>momira + ORGANIC</w:t>
            </w:r>
          </w:p>
        </w:tc>
      </w:tr>
      <w:tr>
        <w:tc>
          <w:tcPr>
            <w:tcW w:type="dxa" w:w="5184"/>
          </w:tcPr>
          <w:p>
            <w:r>
              <w:t>Category</w:t>
            </w:r>
          </w:p>
        </w:tc>
        <w:tc>
          <w:tcPr>
            <w:tcW w:type="dxa" w:w="5184"/>
          </w:tcPr>
          <w:p>
            <w:r>
              <w:t>Organic children’s sleepwear / nightwear</w:t>
            </w:r>
          </w:p>
        </w:tc>
      </w:tr>
      <w:tr>
        <w:tc>
          <w:tcPr>
            <w:tcW w:type="dxa" w:w="5184"/>
          </w:tcPr>
          <w:p>
            <w:r>
              <w:t>Positioning</w:t>
            </w:r>
          </w:p>
        </w:tc>
        <w:tc>
          <w:tcPr>
            <w:tcW w:type="dxa" w:w="5184"/>
          </w:tcPr>
          <w:p>
            <w:r>
              <w:t>Clean, elegant, natural and premium</w:t>
            </w:r>
          </w:p>
        </w:tc>
      </w:tr>
    </w:tbl>
    <w:p/>
    <w:p>
      <w:pPr>
        <w:pStyle w:val="Heading1"/>
      </w:pPr>
      <w:r>
        <w:t>02  |  MASTER LOGO SPECIFICATION</w:t>
      </w:r>
    </w:p>
    <w:p>
      <w:pPr>
        <w:pStyle w:val="ListBullet"/>
      </w:pPr>
      <w:r>
        <w:t>The supplied MOMIRA wordmark is the master logo artwork. The rounded lowercase lettering and two-leaf sprout above the “i” are core identity elements.</w:t>
      </w:r>
    </w:p>
    <w:p>
      <w:pPr>
        <w:pStyle w:val="ListBullet"/>
      </w:pPr>
      <w:r>
        <w:t>Primary lock-up: “momira” with “ORGANIC” below it.</w:t>
      </w:r>
    </w:p>
    <w:p>
      <w:pPr>
        <w:pStyle w:val="ListBullet"/>
      </w:pPr>
      <w:r>
        <w:t>Do not include “KIDS SLEEPWEAR” in the primary lock-up.</w:t>
      </w:r>
    </w:p>
    <w:p>
      <w:pPr>
        <w:pStyle w:val="ListBullet"/>
      </w:pPr>
      <w:r>
        <w:t>Do not stretch, compress, tilt, outline, emboss, shadow, distort or recolour the approved artwork outside the defined palette.</w:t>
      </w:r>
    </w:p>
    <w:p>
      <w:pPr>
        <w:pStyle w:val="ListBullet"/>
      </w:pPr>
      <w:r>
        <w:t>Maintain generous negative space around the logo.</w:t>
      </w:r>
    </w:p>
    <w:p>
      <w:pPr>
        <w:pStyle w:val="ListBullet"/>
      </w:pPr>
      <w:r>
        <w:t>For production, the final vector master supplied by the brand owner takes priority over screenshots or raster copies.</w:t>
      </w:r>
    </w:p>
    <w:p>
      <w:pPr>
        <w:pStyle w:val="Heading1"/>
      </w:pPr>
      <w:r>
        <w:t>03  |  APPROVED COLOUR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566752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074"/>
            <w:shd w:fill="566752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074"/>
            <w:shd w:fill="566752"/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2074"/>
            <w:shd w:fill="566752"/>
          </w:tcPr>
          <w:p>
            <w:r>
              <w:rPr>
                <w:b/>
                <w:color w:val="FFFFFF"/>
                <w:sz w:val="18"/>
              </w:rPr>
              <w:t>RGB</w:t>
            </w:r>
          </w:p>
        </w:tc>
        <w:tc>
          <w:tcPr>
            <w:tcW w:type="dxa" w:w="2074"/>
            <w:shd w:fill="566752"/>
          </w:tcPr>
          <w:p>
            <w:r>
              <w:rPr>
                <w:b/>
                <w:color w:val="FFFFFF"/>
                <w:sz w:val="18"/>
              </w:rPr>
              <w:t>Application</w:t>
            </w:r>
          </w:p>
        </w:tc>
      </w:tr>
      <w:tr>
        <w:tc>
          <w:tcPr>
            <w:tcW w:type="dxa" w:w="2074"/>
          </w:tcPr>
          <w:p>
            <w:r>
              <w:t>Primary field</w:t>
            </w:r>
          </w:p>
        </w:tc>
        <w:tc>
          <w:tcPr>
            <w:tcW w:type="dxa" w:w="2074"/>
          </w:tcPr>
          <w:p>
            <w:r>
              <w:t>Warm Ivory</w:t>
            </w:r>
          </w:p>
        </w:tc>
        <w:tc>
          <w:tcPr>
            <w:tcW w:type="dxa" w:w="2074"/>
          </w:tcPr>
          <w:p>
            <w:r>
              <w:t>#F9F1E6</w:t>
            </w:r>
          </w:p>
        </w:tc>
        <w:tc>
          <w:tcPr>
            <w:tcW w:type="dxa" w:w="2074"/>
          </w:tcPr>
          <w:p>
            <w:r>
              <w:t>249, 241, 230</w:t>
            </w:r>
          </w:p>
        </w:tc>
        <w:tc>
          <w:tcPr>
            <w:tcW w:type="dxa" w:w="2074"/>
          </w:tcPr>
          <w:p>
            <w:r>
              <w:t>Main website background, packaging</w:t>
            </w:r>
          </w:p>
        </w:tc>
      </w:tr>
      <w:tr>
        <w:tc>
          <w:tcPr>
            <w:tcW w:type="dxa" w:w="2074"/>
          </w:tcPr>
          <w:p>
            <w:r>
              <w:t>Primary logo</w:t>
            </w:r>
          </w:p>
        </w:tc>
        <w:tc>
          <w:tcPr>
            <w:tcW w:type="dxa" w:w="2074"/>
          </w:tcPr>
          <w:p>
            <w:r>
              <w:t>Deep Sage</w:t>
            </w:r>
          </w:p>
        </w:tc>
        <w:tc>
          <w:tcPr>
            <w:tcW w:type="dxa" w:w="2074"/>
          </w:tcPr>
          <w:p>
            <w:r>
              <w:t>#566752</w:t>
            </w:r>
          </w:p>
        </w:tc>
        <w:tc>
          <w:tcPr>
            <w:tcW w:type="dxa" w:w="2074"/>
          </w:tcPr>
          <w:p>
            <w:r>
              <w:t>86, 103, 82</w:t>
            </w:r>
          </w:p>
        </w:tc>
        <w:tc>
          <w:tcPr>
            <w:tcW w:type="dxa" w:w="2074"/>
          </w:tcPr>
          <w:p>
            <w:r>
              <w:t>Logo, headings, buttons, icons</w:t>
            </w:r>
          </w:p>
        </w:tc>
      </w:tr>
      <w:tr>
        <w:tc>
          <w:tcPr>
            <w:tcW w:type="dxa" w:w="2074"/>
          </w:tcPr>
          <w:p>
            <w:r>
              <w:t>Secondary</w:t>
            </w:r>
          </w:p>
        </w:tc>
        <w:tc>
          <w:tcPr>
            <w:tcW w:type="dxa" w:w="2074"/>
          </w:tcPr>
          <w:p>
            <w:r>
              <w:t>Sage Mist</w:t>
            </w:r>
          </w:p>
        </w:tc>
        <w:tc>
          <w:tcPr>
            <w:tcW w:type="dxa" w:w="2074"/>
          </w:tcPr>
          <w:p>
            <w:r>
              <w:t>#AEB2A1</w:t>
            </w:r>
          </w:p>
        </w:tc>
        <w:tc>
          <w:tcPr>
            <w:tcW w:type="dxa" w:w="2074"/>
          </w:tcPr>
          <w:p>
            <w:r>
              <w:t>174, 178, 161</w:t>
            </w:r>
          </w:p>
        </w:tc>
        <w:tc>
          <w:tcPr>
            <w:tcW w:type="dxa" w:w="2074"/>
          </w:tcPr>
          <w:p>
            <w:r>
              <w:t>Soft sections and supporting backgrounds</w:t>
            </w:r>
          </w:p>
        </w:tc>
      </w:tr>
      <w:tr>
        <w:tc>
          <w:tcPr>
            <w:tcW w:type="dxa" w:w="2074"/>
          </w:tcPr>
          <w:p>
            <w:r>
              <w:t>Neutral</w:t>
            </w:r>
          </w:p>
        </w:tc>
        <w:tc>
          <w:tcPr>
            <w:tcW w:type="dxa" w:w="2074"/>
          </w:tcPr>
          <w:p>
            <w:r>
              <w:t>Warm Taupe</w:t>
            </w:r>
          </w:p>
        </w:tc>
        <w:tc>
          <w:tcPr>
            <w:tcW w:type="dxa" w:w="2074"/>
          </w:tcPr>
          <w:p>
            <w:r>
              <w:t>#9C8F80</w:t>
            </w:r>
          </w:p>
        </w:tc>
        <w:tc>
          <w:tcPr>
            <w:tcW w:type="dxa" w:w="2074"/>
          </w:tcPr>
          <w:p>
            <w:r>
              <w:t>156, 143, 128</w:t>
            </w:r>
          </w:p>
        </w:tc>
        <w:tc>
          <w:tcPr>
            <w:tcW w:type="dxa" w:w="2074"/>
          </w:tcPr>
          <w:p>
            <w:r>
              <w:t>Limited secondary typography/accent</w:t>
            </w:r>
          </w:p>
        </w:tc>
      </w:tr>
      <w:tr>
        <w:tc>
          <w:tcPr>
            <w:tcW w:type="dxa" w:w="2074"/>
          </w:tcPr>
          <w:p>
            <w:r>
              <w:t>Optional accent</w:t>
            </w:r>
          </w:p>
        </w:tc>
        <w:tc>
          <w:tcPr>
            <w:tcW w:type="dxa" w:w="2074"/>
          </w:tcPr>
          <w:p>
            <w:r>
              <w:t>Dusty Blue</w:t>
            </w:r>
          </w:p>
        </w:tc>
        <w:tc>
          <w:tcPr>
            <w:tcW w:type="dxa" w:w="2074"/>
          </w:tcPr>
          <w:p>
            <w:r>
              <w:t>#B7C6CC</w:t>
            </w:r>
          </w:p>
        </w:tc>
        <w:tc>
          <w:tcPr>
            <w:tcW w:type="dxa" w:w="2074"/>
          </w:tcPr>
          <w:p>
            <w:r>
              <w:t>183, 198, 204</w:t>
            </w:r>
          </w:p>
        </w:tc>
        <w:tc>
          <w:tcPr>
            <w:tcW w:type="dxa" w:w="2074"/>
          </w:tcPr>
          <w:p>
            <w:r>
              <w:t>Limited seasonal use</w:t>
            </w:r>
          </w:p>
        </w:tc>
      </w:tr>
      <w:tr>
        <w:tc>
          <w:tcPr>
            <w:tcW w:type="dxa" w:w="2074"/>
          </w:tcPr>
          <w:p>
            <w:r>
              <w:t>Optional accent</w:t>
            </w:r>
          </w:p>
        </w:tc>
        <w:tc>
          <w:tcPr>
            <w:tcW w:type="dxa" w:w="2074"/>
          </w:tcPr>
          <w:p>
            <w:r>
              <w:t>Blush Beige</w:t>
            </w:r>
          </w:p>
        </w:tc>
        <w:tc>
          <w:tcPr>
            <w:tcW w:type="dxa" w:w="2074"/>
          </w:tcPr>
          <w:p>
            <w:r>
              <w:t>#EADDD3</w:t>
            </w:r>
          </w:p>
        </w:tc>
        <w:tc>
          <w:tcPr>
            <w:tcW w:type="dxa" w:w="2074"/>
          </w:tcPr>
          <w:p>
            <w:r>
              <w:t>234, 221, 211</w:t>
            </w:r>
          </w:p>
        </w:tc>
        <w:tc>
          <w:tcPr>
            <w:tcW w:type="dxa" w:w="2074"/>
          </w:tcPr>
          <w:p>
            <w:r>
              <w:t>Limited soft accent</w:t>
            </w:r>
          </w:p>
        </w:tc>
      </w:tr>
    </w:tbl>
    <w:p/>
    <w:p>
      <w:pPr>
        <w:pStyle w:val="Heading1"/>
      </w:pPr>
      <w:r>
        <w:t>04  |  COLOUR USAGE RATIO</w:t>
      </w:r>
    </w:p>
    <w:p>
      <w:r>
        <w:t>Recommended starting balance: Warm Ivory/light neutral 50–65%; Deep Sage 20–30%; Sage Mist/soft neutrals 10–15%; optional accents 0–5%. The goal is an airy, elegant shopping experience with Deep Sage providing brand recognition.</w:t>
      </w:r>
    </w:p>
    <w:p>
      <w:pPr>
        <w:pStyle w:val="Heading1"/>
      </w:pPr>
      <w:r>
        <w:t>05  |  LOGO COLOUR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566752"/>
          </w:tcPr>
          <w:p>
            <w:r>
              <w:rPr>
                <w:b/>
                <w:color w:val="FFFFFF"/>
                <w:sz w:val="18"/>
              </w:rPr>
              <w:t>Application</w:t>
            </w:r>
          </w:p>
        </w:tc>
        <w:tc>
          <w:tcPr>
            <w:tcW w:type="dxa" w:w="2592"/>
            <w:shd w:fill="566752"/>
          </w:tcPr>
          <w:p>
            <w:r>
              <w:rPr>
                <w:b/>
                <w:color w:val="FFFFFF"/>
                <w:sz w:val="18"/>
              </w:rPr>
              <w:t>Logo</w:t>
            </w:r>
          </w:p>
        </w:tc>
        <w:tc>
          <w:tcPr>
            <w:tcW w:type="dxa" w:w="2592"/>
            <w:shd w:fill="566752"/>
          </w:tcPr>
          <w:p>
            <w:r>
              <w:rPr>
                <w:b/>
                <w:color w:val="FFFFFF"/>
                <w:sz w:val="18"/>
              </w:rPr>
              <w:t>Background</w:t>
            </w:r>
          </w:p>
        </w:tc>
        <w:tc>
          <w:tcPr>
            <w:tcW w:type="dxa" w:w="2592"/>
            <w:shd w:fill="566752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592"/>
          </w:tcPr>
          <w:p>
            <w:r>
              <w:t>Primary website</w:t>
            </w:r>
          </w:p>
        </w:tc>
        <w:tc>
          <w:tcPr>
            <w:tcW w:type="dxa" w:w="2592"/>
          </w:tcPr>
          <w:p>
            <w:r>
              <w:t>Deep Sage</w:t>
            </w:r>
          </w:p>
        </w:tc>
        <w:tc>
          <w:tcPr>
            <w:tcW w:type="dxa" w:w="2592"/>
          </w:tcPr>
          <w:p>
            <w:r>
              <w:t>Warm Ivory</w:t>
            </w:r>
          </w:p>
        </w:tc>
        <w:tc>
          <w:tcPr>
            <w:tcW w:type="dxa" w:w="2592"/>
          </w:tcPr>
          <w:p>
            <w:r>
              <w:t>PRIMARY</w:t>
            </w:r>
          </w:p>
        </w:tc>
      </w:tr>
      <w:tr>
        <w:tc>
          <w:tcPr>
            <w:tcW w:type="dxa" w:w="2592"/>
          </w:tcPr>
          <w:p>
            <w:r>
              <w:t>Hero/feature alternative</w:t>
            </w:r>
          </w:p>
        </w:tc>
        <w:tc>
          <w:tcPr>
            <w:tcW w:type="dxa" w:w="2592"/>
          </w:tcPr>
          <w:p>
            <w:r>
              <w:t>Warm Ivory</w:t>
            </w:r>
          </w:p>
        </w:tc>
        <w:tc>
          <w:tcPr>
            <w:tcW w:type="dxa" w:w="2592"/>
          </w:tcPr>
          <w:p>
            <w:r>
              <w:t>Deep Sage</w:t>
            </w:r>
          </w:p>
        </w:tc>
        <w:tc>
          <w:tcPr>
            <w:tcW w:type="dxa" w:w="2592"/>
          </w:tcPr>
          <w:p>
            <w:r>
              <w:t>SECONDARY</w:t>
            </w:r>
          </w:p>
        </w:tc>
      </w:tr>
      <w:tr>
        <w:tc>
          <w:tcPr>
            <w:tcW w:type="dxa" w:w="2592"/>
          </w:tcPr>
          <w:p>
            <w:r>
              <w:t>Soft neutral</w:t>
            </w:r>
          </w:p>
        </w:tc>
        <w:tc>
          <w:tcPr>
            <w:tcW w:type="dxa" w:w="2592"/>
          </w:tcPr>
          <w:p>
            <w:r>
              <w:t>Deep Sage</w:t>
            </w:r>
          </w:p>
        </w:tc>
        <w:tc>
          <w:tcPr>
            <w:tcW w:type="dxa" w:w="2592"/>
          </w:tcPr>
          <w:p>
            <w:r>
              <w:t>Sage Mist</w:t>
            </w:r>
          </w:p>
        </w:tc>
        <w:tc>
          <w:tcPr>
            <w:tcW w:type="dxa" w:w="2592"/>
          </w:tcPr>
          <w:p>
            <w:r>
              <w:t>SECONDARY</w:t>
            </w:r>
          </w:p>
        </w:tc>
      </w:tr>
      <w:tr>
        <w:tc>
          <w:tcPr>
            <w:tcW w:type="dxa" w:w="2592"/>
          </w:tcPr>
          <w:p>
            <w:r>
              <w:t>One-colour print</w:t>
            </w:r>
          </w:p>
        </w:tc>
        <w:tc>
          <w:tcPr>
            <w:tcW w:type="dxa" w:w="2592"/>
          </w:tcPr>
          <w:p>
            <w:r>
              <w:t>Deep Sage</w:t>
            </w:r>
          </w:p>
        </w:tc>
        <w:tc>
          <w:tcPr>
            <w:tcW w:type="dxa" w:w="2592"/>
          </w:tcPr>
          <w:p>
            <w:r>
              <w:t>White/light neutral</w:t>
            </w:r>
          </w:p>
        </w:tc>
        <w:tc>
          <w:tcPr>
            <w:tcW w:type="dxa" w:w="2592"/>
          </w:tcPr>
          <w:p>
            <w:r>
              <w:t>PRODUCTION</w:t>
            </w:r>
          </w:p>
        </w:tc>
      </w:tr>
      <w:tr>
        <w:tc>
          <w:tcPr>
            <w:tcW w:type="dxa" w:w="2592"/>
          </w:tcPr>
          <w:p>
            <w:r>
              <w:t>Reverse production</w:t>
            </w:r>
          </w:p>
        </w:tc>
        <w:tc>
          <w:tcPr>
            <w:tcW w:type="dxa" w:w="2592"/>
          </w:tcPr>
          <w:p>
            <w:r>
              <w:t>Warm Ivory</w:t>
            </w:r>
          </w:p>
        </w:tc>
        <w:tc>
          <w:tcPr>
            <w:tcW w:type="dxa" w:w="2592"/>
          </w:tcPr>
          <w:p>
            <w:r>
              <w:t>Deep Sage</w:t>
            </w:r>
          </w:p>
        </w:tc>
        <w:tc>
          <w:tcPr>
            <w:tcW w:type="dxa" w:w="2592"/>
          </w:tcPr>
          <w:p>
            <w:r>
              <w:t>PRODUCTION</w:t>
            </w:r>
          </w:p>
        </w:tc>
      </w:tr>
    </w:tbl>
    <w:p/>
    <w:p>
      <w:pPr>
        <w:pStyle w:val="Heading1"/>
      </w:pPr>
      <w:r>
        <w:t>06  |  TYPOGRAPHY SYSTEM</w:t>
      </w:r>
    </w:p>
    <w:p>
      <w:r>
        <w:t>The logo must be used as supplied vector artwork. Website typography should complement the rounded, soft geometry of the wordmark.</w:t>
      </w:r>
    </w:p>
    <w:p>
      <w:pPr>
        <w:pStyle w:val="ListBullet"/>
      </w:pPr>
      <w:r>
        <w:t>Headings: rounded modern sans-serif, medium/bold weight.</w:t>
      </w:r>
    </w:p>
    <w:p>
      <w:pPr>
        <w:pStyle w:val="ListBullet"/>
      </w:pPr>
      <w:r>
        <w:t>Body: clean neutral sans-serif, regular weight, high readability.</w:t>
      </w:r>
    </w:p>
    <w:p>
      <w:pPr>
        <w:pStyle w:val="ListBullet"/>
      </w:pPr>
      <w:r>
        <w:t>Labels: uppercase with generous letter spacing for terms such as ORGANIC.</w:t>
      </w:r>
    </w:p>
    <w:p>
      <w:pPr>
        <w:pStyle w:val="ListBullet"/>
      </w:pPr>
      <w:r>
        <w:t>Buttons: medium-weight sans-serif with short, clear labels.</w:t>
      </w:r>
    </w:p>
    <w:p>
      <w:pPr>
        <w:pStyle w:val="Heading1"/>
      </w:pPr>
      <w:r>
        <w:t>07  |  WEBSITE DESIGN DIRECTION</w:t>
      </w:r>
    </w:p>
    <w:p>
      <w:pPr>
        <w:pStyle w:val="ListBullet"/>
      </w:pPr>
      <w:r>
        <w:t>Overall design: light, spacious, elegant and premium.</w:t>
      </w:r>
    </w:p>
    <w:p>
      <w:pPr>
        <w:pStyle w:val="ListBullet"/>
      </w:pPr>
      <w:r>
        <w:t>Homepage and main content: Warm Ivory/light neutral background with Deep Sage typography.</w:t>
      </w:r>
    </w:p>
    <w:p>
      <w:pPr>
        <w:pStyle w:val="ListBullet"/>
      </w:pPr>
      <w:r>
        <w:t>Hero sections: primarily Warm Ivory with Deep Sage logo; use Deep Sage blocks selectively for contrast.</w:t>
      </w:r>
    </w:p>
    <w:p>
      <w:pPr>
        <w:pStyle w:val="ListBullet"/>
      </w:pPr>
      <w:r>
        <w:t>Primary CTA: Deep Sage fill + Warm Ivory text.</w:t>
      </w:r>
    </w:p>
    <w:p>
      <w:pPr>
        <w:pStyle w:val="ListBullet"/>
      </w:pPr>
      <w:r>
        <w:t>Secondary CTA: light fill + Deep Sage border/text.</w:t>
      </w:r>
    </w:p>
    <w:p>
      <w:pPr>
        <w:pStyle w:val="ListBullet"/>
      </w:pPr>
      <w:r>
        <w:t>Product cards: soft neutral surface, subtle border, generous whitespace and moderate rounded corners.</w:t>
      </w:r>
    </w:p>
    <w:p>
      <w:pPr>
        <w:pStyle w:val="ListBullet"/>
      </w:pPr>
      <w:r>
        <w:t>Photography: natural daylight, organic cotton textures, soft fabrics, calm bedtime mood and muted surroundings.</w:t>
      </w:r>
    </w:p>
    <w:p>
      <w:pPr>
        <w:pStyle w:val="ListBullet"/>
      </w:pPr>
      <w:r>
        <w:t>Avoid neon colours, harsh black, heavy gradients, glossy effects and crowded layouts.</w:t>
      </w:r>
    </w:p>
    <w:p>
      <w:pPr>
        <w:pStyle w:val="Heading1"/>
      </w:pPr>
      <w:r>
        <w:t>08  |  RESPONSIVE LOGO SIZING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566752"/>
          </w:tcPr>
          <w:p>
            <w:r>
              <w:rPr>
                <w:b/>
                <w:color w:val="FFFFFF"/>
                <w:sz w:val="18"/>
              </w:rPr>
              <w:t>Placement</w:t>
            </w:r>
          </w:p>
        </w:tc>
        <w:tc>
          <w:tcPr>
            <w:tcW w:type="dxa" w:w="3456"/>
            <w:shd w:fill="566752"/>
          </w:tcPr>
          <w:p>
            <w:r>
              <w:rPr>
                <w:b/>
                <w:color w:val="FFFFFF"/>
                <w:sz w:val="18"/>
              </w:rPr>
              <w:t>Recommended starting width</w:t>
            </w:r>
          </w:p>
        </w:tc>
        <w:tc>
          <w:tcPr>
            <w:tcW w:type="dxa" w:w="3456"/>
            <w:shd w:fill="566752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>
              <w:t>Desktop header</w:t>
            </w:r>
          </w:p>
        </w:tc>
        <w:tc>
          <w:tcPr>
            <w:tcW w:type="dxa" w:w="3456"/>
          </w:tcPr>
          <w:p>
            <w:r>
              <w:t>150–190 px</w:t>
            </w:r>
          </w:p>
        </w:tc>
        <w:tc>
          <w:tcPr>
            <w:tcW w:type="dxa" w:w="3456"/>
          </w:tcPr>
          <w:p>
            <w:r>
              <w:t>Generous horizontal padding</w:t>
            </w:r>
          </w:p>
        </w:tc>
      </w:tr>
      <w:tr>
        <w:tc>
          <w:tcPr>
            <w:tcW w:type="dxa" w:w="3456"/>
          </w:tcPr>
          <w:p>
            <w:r>
              <w:t>Tablet header</w:t>
            </w:r>
          </w:p>
        </w:tc>
        <w:tc>
          <w:tcPr>
            <w:tcW w:type="dxa" w:w="3456"/>
          </w:tcPr>
          <w:p>
            <w:r>
              <w:t>135–170 px</w:t>
            </w:r>
          </w:p>
        </w:tc>
        <w:tc>
          <w:tcPr>
            <w:tcW w:type="dxa" w:w="3456"/>
          </w:tcPr>
          <w:p>
            <w:r>
              <w:t>Keep aspect ratio locked</w:t>
            </w:r>
          </w:p>
        </w:tc>
      </w:tr>
      <w:tr>
        <w:tc>
          <w:tcPr>
            <w:tcW w:type="dxa" w:w="3456"/>
          </w:tcPr>
          <w:p>
            <w:r>
              <w:t>Mobile header</w:t>
            </w:r>
          </w:p>
        </w:tc>
        <w:tc>
          <w:tcPr>
            <w:tcW w:type="dxa" w:w="3456"/>
          </w:tcPr>
          <w:p>
            <w:r>
              <w:t>115–145 px</w:t>
            </w:r>
          </w:p>
        </w:tc>
        <w:tc>
          <w:tcPr>
            <w:tcW w:type="dxa" w:w="3456"/>
          </w:tcPr>
          <w:p>
            <w:r>
              <w:t>Use compact horizontal lock-up</w:t>
            </w:r>
          </w:p>
        </w:tc>
      </w:tr>
      <w:tr>
        <w:tc>
          <w:tcPr>
            <w:tcW w:type="dxa" w:w="3456"/>
          </w:tcPr>
          <w:p>
            <w:r>
              <w:t>Favicon</w:t>
            </w:r>
          </w:p>
        </w:tc>
        <w:tc>
          <w:tcPr>
            <w:tcW w:type="dxa" w:w="3456"/>
          </w:tcPr>
          <w:p>
            <w:r>
              <w:t>32 / 48 px</w:t>
            </w:r>
          </w:p>
        </w:tc>
        <w:tc>
          <w:tcPr>
            <w:tcW w:type="dxa" w:w="3456"/>
          </w:tcPr>
          <w:p>
            <w:r>
              <w:t>Use simplified sprout/monogram</w:t>
            </w:r>
          </w:p>
        </w:tc>
      </w:tr>
      <w:tr>
        <w:tc>
          <w:tcPr>
            <w:tcW w:type="dxa" w:w="3456"/>
          </w:tcPr>
          <w:p>
            <w:r>
              <w:t>Social / app icon</w:t>
            </w:r>
          </w:p>
        </w:tc>
        <w:tc>
          <w:tcPr>
            <w:tcW w:type="dxa" w:w="3456"/>
          </w:tcPr>
          <w:p>
            <w:r>
              <w:t>180–512 px master</w:t>
            </w:r>
          </w:p>
        </w:tc>
        <w:tc>
          <w:tcPr>
            <w:tcW w:type="dxa" w:w="3456"/>
          </w:tcPr>
          <w:p>
            <w:r>
              <w:t>Use simplified mark, centred</w:t>
            </w:r>
          </w:p>
        </w:tc>
      </w:tr>
    </w:tbl>
    <w:p/>
    <w:p>
      <w:pPr>
        <w:pStyle w:val="Heading1"/>
      </w:pPr>
      <w:r>
        <w:t>09  |  PRINT &amp; PRODUCTION APPLICATION</w:t>
      </w:r>
    </w:p>
    <w:p>
      <w:pPr>
        <w:pStyle w:val="ListBullet"/>
      </w:pPr>
      <w:r>
        <w:t>Garment neck labels: use the Deep Sage one-colour logo or approved two-colour version according to fabric.</w:t>
      </w:r>
    </w:p>
    <w:p>
      <w:pPr>
        <w:pStyle w:val="ListBullet"/>
      </w:pPr>
      <w:r>
        <w:t>Hang tags: Warm Ivory base with Deep Sage logo is the preferred clean treatment.</w:t>
      </w:r>
    </w:p>
    <w:p>
      <w:pPr>
        <w:pStyle w:val="ListBullet"/>
      </w:pPr>
      <w:r>
        <w:t>Packaging: Warm Ivory as the main field with Deep Sage logo/typography; use Deep Sage panels selectively.</w:t>
      </w:r>
    </w:p>
    <w:p>
      <w:pPr>
        <w:pStyle w:val="ListBullet"/>
      </w:pPr>
      <w:r>
        <w:t>Embroidery: use a simplified single-colour logo and production-test the leaf detail before bulk production.</w:t>
      </w:r>
    </w:p>
    <w:p>
      <w:pPr>
        <w:pStyle w:val="ListBullet"/>
      </w:pPr>
      <w:r>
        <w:t>Do not sample colours from phone screenshots. Confirm final print values with physical colour proofs.</w:t>
      </w:r>
    </w:p>
    <w:p>
      <w:pPr>
        <w:pStyle w:val="ListBullet"/>
      </w:pPr>
      <w:r>
        <w:t>Fabric trims and woven labels should be approved physically before bulk production.</w:t>
      </w:r>
    </w:p>
    <w:p>
      <w:pPr>
        <w:pStyle w:val="Heading1"/>
      </w:pPr>
      <w:r>
        <w:t>10  |  CLEAR SPACE &amp; MINIMUM SIZE</w:t>
      </w:r>
    </w:p>
    <w:p>
      <w:r>
        <w:t>Keep at least the height of the lowercase “m” as clear space on all sides. Do not reduce the full lock-up until ORGANIC or the sprout becomes unclear. For small applications, use the approved simplified mark.</w:t>
      </w:r>
    </w:p>
    <w:p>
      <w:pPr>
        <w:pStyle w:val="Heading1"/>
      </w:pPr>
      <w:r>
        <w:t>11  |  DIGITAL ASSET PACKAGE TO REQUEST</w:t>
      </w:r>
    </w:p>
    <w:p>
      <w:pPr>
        <w:pStyle w:val="ListBullet"/>
      </w:pPr>
      <w:r>
        <w:t>Master logo — SVG</w:t>
      </w:r>
    </w:p>
    <w:p>
      <w:pPr>
        <w:pStyle w:val="ListBullet"/>
      </w:pPr>
      <w:r>
        <w:t>Vector/PDF logo</w:t>
      </w:r>
    </w:p>
    <w:p>
      <w:pPr>
        <w:pStyle w:val="ListBullet"/>
      </w:pPr>
      <w:r>
        <w:t>Transparent PNG — large resolution</w:t>
      </w:r>
    </w:p>
    <w:p>
      <w:pPr>
        <w:pStyle w:val="ListBullet"/>
      </w:pPr>
      <w:r>
        <w:t>Warm Ivory background + Deep Sage logo</w:t>
      </w:r>
    </w:p>
    <w:p>
      <w:pPr>
        <w:pStyle w:val="ListBullet"/>
      </w:pPr>
      <w:r>
        <w:t>Deep Sage background + Warm Ivory logo</w:t>
      </w:r>
    </w:p>
    <w:p>
      <w:pPr>
        <w:pStyle w:val="ListBullet"/>
      </w:pPr>
      <w:r>
        <w:t>One-colour dark and light versions</w:t>
      </w:r>
    </w:p>
    <w:p>
      <w:pPr>
        <w:pStyle w:val="ListBullet"/>
      </w:pPr>
      <w:r>
        <w:t>Favicon / app icon</w:t>
      </w:r>
    </w:p>
    <w:p>
      <w:pPr>
        <w:pStyle w:val="ListBullet"/>
      </w:pPr>
      <w:r>
        <w:t>Social profile logo</w:t>
      </w:r>
    </w:p>
    <w:p>
      <w:pPr>
        <w:pStyle w:val="ListBullet"/>
      </w:pPr>
      <w:r>
        <w:t>Colour palette with HEX/RGB and final CMYK values</w:t>
      </w:r>
    </w:p>
    <w:p>
      <w:pPr>
        <w:pStyle w:val="ListBullet"/>
      </w:pPr>
      <w:r>
        <w:t>Font names and licensing details</w:t>
      </w:r>
    </w:p>
    <w:p>
      <w:pPr>
        <w:pStyle w:val="ListBullet"/>
      </w:pPr>
      <w:r>
        <w:t>Packaging / label / hang-tag production files</w:t>
      </w:r>
    </w:p>
    <w:p>
      <w:pPr>
        <w:pStyle w:val="Heading1"/>
      </w:pPr>
      <w:r>
        <w:t>12  |  WEBSITE DEVELOPER HANDOFF REQUIREMENTS</w:t>
      </w:r>
    </w:p>
    <w:p>
      <w:pPr>
        <w:pStyle w:val="ListBullet"/>
      </w:pPr>
      <w:r>
        <w:t>Use SVG as the primary website logo source.</w:t>
      </w:r>
    </w:p>
    <w:p>
      <w:pPr>
        <w:pStyle w:val="ListBullet"/>
      </w:pPr>
      <w:r>
        <w:t>Lock logo aspect ratio; never stretch artwork with CSS.</w:t>
      </w:r>
    </w:p>
    <w:p>
      <w:pPr>
        <w:pStyle w:val="ListBullet"/>
      </w:pPr>
      <w:r>
        <w:t>Create reusable design tokens/variables for Warm Ivory, Deep Sage and supporting colours.</w:t>
      </w:r>
    </w:p>
    <w:p>
      <w:pPr>
        <w:pStyle w:val="ListBullet"/>
      </w:pPr>
      <w:r>
        <w:t>Test accessibility contrast for all text and CTA combinations.</w:t>
      </w:r>
    </w:p>
    <w:p>
      <w:pPr>
        <w:pStyle w:val="ListBullet"/>
      </w:pPr>
      <w:r>
        <w:t>Follow the responsive logo sizes in Section 08.</w:t>
      </w:r>
    </w:p>
    <w:p>
      <w:pPr>
        <w:pStyle w:val="ListBullet"/>
      </w:pPr>
      <w:r>
        <w:t>Maintain consistent spacing, corner radius and typography across homepage, category, product, cart and checkout pages.</w:t>
      </w:r>
    </w:p>
    <w:p>
      <w:pPr>
        <w:pStyle w:val="ListBullet"/>
      </w:pPr>
      <w:r>
        <w:t>Never recreate the MOMIRA logo using ordinary web fonts.</w:t>
      </w:r>
    </w:p>
    <w:p>
      <w:pPr>
        <w:pStyle w:val="Heading1"/>
      </w:pPr>
      <w:r>
        <w:t>13  |  PRODUCTION APPROVAL CHECKLIST</w:t>
      </w:r>
    </w:p>
    <w:p>
      <w:pPr>
        <w:pStyle w:val="ListBullet"/>
      </w:pPr>
      <w:r>
        <w:t>☐ Master vector logo approved</w:t>
      </w:r>
    </w:p>
    <w:p>
      <w:pPr>
        <w:pStyle w:val="ListBullet"/>
      </w:pPr>
      <w:r>
        <w:t>☐ Warm Ivory / Deep Sage colours approved</w:t>
      </w:r>
    </w:p>
    <w:p>
      <w:pPr>
        <w:pStyle w:val="ListBullet"/>
      </w:pPr>
      <w:r>
        <w:t>☐ Desktop/mobile website header approved</w:t>
      </w:r>
    </w:p>
    <w:p>
      <w:pPr>
        <w:pStyle w:val="ListBullet"/>
      </w:pPr>
      <w:r>
        <w:t>☐ Packaging colour proof approved</w:t>
      </w:r>
    </w:p>
    <w:p>
      <w:pPr>
        <w:pStyle w:val="ListBullet"/>
      </w:pPr>
      <w:r>
        <w:t>☐ Garment label / embroidery proof approved</w:t>
      </w:r>
    </w:p>
    <w:p>
      <w:pPr>
        <w:pStyle w:val="ListBullet"/>
      </w:pPr>
      <w:r>
        <w:t>☐ Favicon/social icon approved</w:t>
      </w:r>
    </w:p>
    <w:p>
      <w:pPr>
        <w:pStyle w:val="ListBullet"/>
      </w:pPr>
      <w:r>
        <w:t>☐ Final print CMYK values approved from physical proof</w:t>
      </w:r>
    </w:p>
    <w:p>
      <w:pPr>
        <w:jc w:val="center"/>
      </w:pPr>
      <w:r>
        <w:rPr>
          <w:b/>
          <w:color w:val="566752"/>
        </w:rPr>
        <w:t>MOMIRA ORGANIC • OPTION 02 — IVORY + SAGE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