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/>
          <w:b/>
          <w:color w:val="00467F"/>
          <w:sz w:val="44"/>
        </w:rPr>
        <w:t>ML-Based Adsorption Capacity Prediction</w:t>
        <w:br/>
        <w:t>for Emerging Contaminants on Biochar</w:t>
      </w:r>
    </w:p>
    <w:p/>
    <w:p>
      <w:pPr>
        <w:jc w:val="center"/>
      </w:pPr>
      <w:r>
        <w:rPr>
          <w:rFonts w:ascii="Times New Roman" w:hAnsi="Times New Roman"/>
          <w:i/>
          <w:sz w:val="28"/>
        </w:rPr>
        <w:t>Project Report — Three-Biochar Process-Specific Analysis</w:t>
      </w:r>
    </w:p>
    <w:p/>
    <w:p>
      <w:pPr>
        <w:jc w:val="center"/>
      </w:pPr>
      <w:r>
        <w:rPr>
          <w:rFonts w:ascii="Times New Roman" w:hAnsi="Times New Roman"/>
          <w:sz w:val="24"/>
        </w:rPr>
        <w:t>Generated: 2026-05-12</w:t>
      </w:r>
    </w:p>
    <w:p>
      <w:r>
        <w:br w:type="page"/>
      </w:r>
    </w:p>
    <w:p>
      <w:pPr>
        <w:pStyle w:val="Heading1"/>
      </w:pPr>
      <w:r>
        <w:t>1. Objective</w:t>
      </w:r>
    </w:p>
    <w:p>
      <w:pPr>
        <w:jc w:val="both"/>
      </w:pPr>
      <w:r>
        <w:rPr>
          <w:b w:val="0"/>
        </w:rPr>
        <w:t>This project applies machine learning methodologies inspired by state-of-the-art research to predict the adsorption capacity of emerging contaminants (ECs) on three specific biochar materials: PAC (Powdered Activated Carbon), PB600 (600°C Pyrolysis Biochar), and NaOH-Activated SCW Biochar. Three ML models — Gaussian Process Regression (GPR), Support Vector Regression (SVR), and Artificial Neural Network (ANN) — are trained, tuned, and evaluated independently for each material. A Genetic Algorithm (GA) is additionally employed to identify optimal experimental conditions per biochar for maximizing adsorption capacity.</w:t>
      </w:r>
    </w:p>
    <w:p>
      <w:pPr>
        <w:pStyle w:val="Heading1"/>
      </w:pPr>
      <w:r>
        <w:t>2. Dataset Description</w:t>
      </w:r>
    </w:p>
    <w:p>
      <w:pPr>
        <w:jc w:val="both"/>
      </w:pPr>
      <w:r>
        <w:rPr>
          <w:b w:val="0"/>
        </w:rPr>
        <w:t>The raw dataset contains 3,757 experimental observations across 15 adsorbent materials. For this study, the data was filtered to three process-specific biochars totalling 810 samples.</w:t>
      </w:r>
    </w:p>
    <w:p>
      <w:pPr>
        <w:pStyle w:val="Heading2"/>
      </w:pPr>
      <w:r>
        <w:t>2.1 Biochar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6"/>
        <w:gridCol w:w="1516"/>
        <w:gridCol w:w="1516"/>
        <w:gridCol w:w="1516"/>
        <w:gridCol w:w="1516"/>
        <w:gridCol w:w="1516"/>
      </w:tblGrid>
      <w:tr>
        <w:tc>
          <w:tcPr>
            <w:tcW w:type="dxa" w:w="1516"/>
            <w:shd w:fill="00468F" w:color="FFFF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Biochar</w:t>
            </w:r>
          </w:p>
        </w:tc>
        <w:tc>
          <w:tcPr>
            <w:tcW w:type="dxa" w:w="1516"/>
            <w:shd w:fill="00468F" w:color="FFFF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Total Samples</w:t>
            </w:r>
          </w:p>
        </w:tc>
        <w:tc>
          <w:tcPr>
            <w:tcW w:type="dxa" w:w="1516"/>
            <w:shd w:fill="00468F" w:color="FFFF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Training (80%)</w:t>
            </w:r>
          </w:p>
        </w:tc>
        <w:tc>
          <w:tcPr>
            <w:tcW w:type="dxa" w:w="1516"/>
            <w:shd w:fill="00468F" w:color="FFFF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Testing (20%)</w:t>
            </w:r>
          </w:p>
        </w:tc>
        <w:tc>
          <w:tcPr>
            <w:tcW w:type="dxa" w:w="1516"/>
            <w:shd w:fill="00468F" w:color="FFFF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Mean Capacity</w:t>
            </w:r>
          </w:p>
        </w:tc>
        <w:tc>
          <w:tcPr>
            <w:tcW w:type="dxa" w:w="1516"/>
            <w:shd w:fill="00468F" w:color="FFFF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Max Capacity</w:t>
            </w:r>
          </w:p>
        </w:tc>
      </w:tr>
      <w:tr>
        <w:tc>
          <w:tcPr>
            <w:tcW w:type="dxa" w:w="1516"/>
            <w:shd w:fill="EAF1FB"/>
          </w:tcPr>
          <w:p>
            <w:pPr>
              <w:jc w:val="center"/>
            </w:pPr>
            <w:r>
              <w:rPr>
                <w:sz w:val="22"/>
              </w:rPr>
              <w:t>PAC</w:t>
            </w:r>
          </w:p>
        </w:tc>
        <w:tc>
          <w:tcPr>
            <w:tcW w:type="dxa" w:w="1516"/>
            <w:shd w:fill="EAF1FB"/>
          </w:tcPr>
          <w:p>
            <w:pPr>
              <w:jc w:val="center"/>
            </w:pPr>
            <w:r>
              <w:rPr>
                <w:sz w:val="22"/>
              </w:rPr>
              <w:t>162</w:t>
            </w:r>
          </w:p>
        </w:tc>
        <w:tc>
          <w:tcPr>
            <w:tcW w:type="dxa" w:w="1516"/>
            <w:shd w:fill="EAF1FB"/>
          </w:tcPr>
          <w:p>
            <w:pPr>
              <w:jc w:val="center"/>
            </w:pPr>
            <w:r>
              <w:rPr>
                <w:sz w:val="22"/>
              </w:rPr>
              <w:t>129</w:t>
            </w:r>
          </w:p>
        </w:tc>
        <w:tc>
          <w:tcPr>
            <w:tcW w:type="dxa" w:w="1516"/>
            <w:shd w:fill="EAF1FB"/>
          </w:tcPr>
          <w:p>
            <w:pPr>
              <w:jc w:val="center"/>
            </w:pPr>
            <w:r>
              <w:rPr>
                <w:sz w:val="22"/>
              </w:rPr>
              <w:t>33</w:t>
            </w:r>
          </w:p>
        </w:tc>
        <w:tc>
          <w:tcPr>
            <w:tcW w:type="dxa" w:w="1516"/>
            <w:shd w:fill="EAF1FB"/>
          </w:tcPr>
          <w:p>
            <w:pPr>
              <w:jc w:val="center"/>
            </w:pPr>
            <w:r>
              <w:rPr>
                <w:sz w:val="22"/>
              </w:rPr>
              <w:t>42.57</w:t>
            </w:r>
          </w:p>
        </w:tc>
        <w:tc>
          <w:tcPr>
            <w:tcW w:type="dxa" w:w="1516"/>
            <w:shd w:fill="EAF1FB"/>
          </w:tcPr>
          <w:p>
            <w:pPr>
              <w:jc w:val="center"/>
            </w:pPr>
            <w:r>
              <w:rPr>
                <w:sz w:val="22"/>
              </w:rPr>
              <w:t>155.45</w:t>
            </w:r>
          </w:p>
        </w:tc>
      </w:tr>
      <w:tr>
        <w:tc>
          <w:tcPr>
            <w:tcW w:type="dxa" w:w="1516"/>
            <w:shd w:fill="FFFFFF"/>
          </w:tcPr>
          <w:p>
            <w:pPr>
              <w:jc w:val="center"/>
            </w:pPr>
            <w:r>
              <w:rPr>
                <w:sz w:val="22"/>
              </w:rPr>
              <w:t>PB600</w:t>
            </w:r>
          </w:p>
        </w:tc>
        <w:tc>
          <w:tcPr>
            <w:tcW w:type="dxa" w:w="1516"/>
            <w:shd w:fill="FFFFFF"/>
          </w:tcPr>
          <w:p>
            <w:pPr>
              <w:jc w:val="center"/>
            </w:pPr>
            <w:r>
              <w:rPr>
                <w:sz w:val="22"/>
              </w:rPr>
              <w:t>162</w:t>
            </w:r>
          </w:p>
        </w:tc>
        <w:tc>
          <w:tcPr>
            <w:tcW w:type="dxa" w:w="1516"/>
            <w:shd w:fill="FFFFFF"/>
          </w:tcPr>
          <w:p>
            <w:pPr>
              <w:jc w:val="center"/>
            </w:pPr>
            <w:r>
              <w:rPr>
                <w:sz w:val="22"/>
              </w:rPr>
              <w:t>129</w:t>
            </w:r>
          </w:p>
        </w:tc>
        <w:tc>
          <w:tcPr>
            <w:tcW w:type="dxa" w:w="1516"/>
            <w:shd w:fill="FFFFFF"/>
          </w:tcPr>
          <w:p>
            <w:pPr>
              <w:jc w:val="center"/>
            </w:pPr>
            <w:r>
              <w:rPr>
                <w:sz w:val="22"/>
              </w:rPr>
              <w:t>33</w:t>
            </w:r>
          </w:p>
        </w:tc>
        <w:tc>
          <w:tcPr>
            <w:tcW w:type="dxa" w:w="1516"/>
            <w:shd w:fill="FFFFFF"/>
          </w:tcPr>
          <w:p>
            <w:pPr>
              <w:jc w:val="center"/>
            </w:pPr>
            <w:r>
              <w:rPr>
                <w:sz w:val="22"/>
              </w:rPr>
              <w:t>7.08</w:t>
            </w:r>
          </w:p>
        </w:tc>
        <w:tc>
          <w:tcPr>
            <w:tcW w:type="dxa" w:w="1516"/>
            <w:shd w:fill="FFFFFF"/>
          </w:tcPr>
          <w:p>
            <w:pPr>
              <w:jc w:val="center"/>
            </w:pPr>
            <w:r>
              <w:rPr>
                <w:sz w:val="22"/>
              </w:rPr>
              <w:t>21.18</w:t>
            </w:r>
          </w:p>
        </w:tc>
      </w:tr>
      <w:tr>
        <w:tc>
          <w:tcPr>
            <w:tcW w:type="dxa" w:w="1516"/>
            <w:shd w:fill="EAF1FB"/>
          </w:tcPr>
          <w:p>
            <w:pPr>
              <w:jc w:val="center"/>
            </w:pPr>
            <w:r>
              <w:rPr>
                <w:sz w:val="22"/>
              </w:rPr>
              <w:t>NaOH-activated SCW</w:t>
            </w:r>
          </w:p>
        </w:tc>
        <w:tc>
          <w:tcPr>
            <w:tcW w:type="dxa" w:w="1516"/>
            <w:shd w:fill="EAF1FB"/>
          </w:tcPr>
          <w:p>
            <w:pPr>
              <w:jc w:val="center"/>
            </w:pPr>
            <w:r>
              <w:rPr>
                <w:sz w:val="22"/>
              </w:rPr>
              <w:t>486</w:t>
            </w:r>
          </w:p>
        </w:tc>
        <w:tc>
          <w:tcPr>
            <w:tcW w:type="dxa" w:w="1516"/>
            <w:shd w:fill="EAF1FB"/>
          </w:tcPr>
          <w:p>
            <w:pPr>
              <w:jc w:val="center"/>
            </w:pPr>
            <w:r>
              <w:rPr>
                <w:sz w:val="22"/>
              </w:rPr>
              <w:t>388</w:t>
            </w:r>
          </w:p>
        </w:tc>
        <w:tc>
          <w:tcPr>
            <w:tcW w:type="dxa" w:w="1516"/>
            <w:shd w:fill="EAF1FB"/>
          </w:tcPr>
          <w:p>
            <w:pPr>
              <w:jc w:val="center"/>
            </w:pPr>
            <w:r>
              <w:rPr>
                <w:sz w:val="22"/>
              </w:rPr>
              <w:t>98</w:t>
            </w:r>
          </w:p>
        </w:tc>
        <w:tc>
          <w:tcPr>
            <w:tcW w:type="dxa" w:w="1516"/>
            <w:shd w:fill="EAF1FB"/>
          </w:tcPr>
          <w:p>
            <w:pPr>
              <w:jc w:val="center"/>
            </w:pPr>
            <w:r>
              <w:rPr>
                <w:sz w:val="22"/>
              </w:rPr>
              <w:t>98.23</w:t>
            </w:r>
          </w:p>
        </w:tc>
        <w:tc>
          <w:tcPr>
            <w:tcW w:type="dxa" w:w="1516"/>
            <w:shd w:fill="EAF1FB"/>
          </w:tcPr>
          <w:p>
            <w:pPr>
              <w:jc w:val="center"/>
            </w:pPr>
            <w:r>
              <w:rPr>
                <w:sz w:val="22"/>
              </w:rPr>
              <w:t>536.34</w:t>
            </w:r>
          </w:p>
        </w:tc>
      </w:tr>
    </w:tbl>
    <w:p/>
    <w:p>
      <w:pPr>
        <w:pStyle w:val="Heading2"/>
      </w:pPr>
      <w:r>
        <w:t>2.2 Input Feature Statistics (Combined)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0"/>
        <w:gridCol w:w="1820"/>
        <w:gridCol w:w="1820"/>
        <w:gridCol w:w="1820"/>
        <w:gridCol w:w="1820"/>
      </w:tblGrid>
      <w:tr>
        <w:tc>
          <w:tcPr>
            <w:tcW w:type="dxa" w:w="1820"/>
            <w:shd w:fill="00468F" w:color="FFFF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Feature</w:t>
            </w:r>
          </w:p>
        </w:tc>
        <w:tc>
          <w:tcPr>
            <w:tcW w:type="dxa" w:w="1820"/>
            <w:shd w:fill="00468F" w:color="FFFF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Mean</w:t>
            </w:r>
          </w:p>
        </w:tc>
        <w:tc>
          <w:tcPr>
            <w:tcW w:type="dxa" w:w="1820"/>
            <w:shd w:fill="00468F" w:color="FFFF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Std Dev</w:t>
            </w:r>
          </w:p>
        </w:tc>
        <w:tc>
          <w:tcPr>
            <w:tcW w:type="dxa" w:w="1820"/>
            <w:shd w:fill="00468F" w:color="FFFF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Min</w:t>
            </w:r>
          </w:p>
        </w:tc>
        <w:tc>
          <w:tcPr>
            <w:tcW w:type="dxa" w:w="1820"/>
            <w:shd w:fill="00468F" w:color="FFFF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Max</w:t>
            </w:r>
          </w:p>
        </w:tc>
      </w:tr>
      <w:tr>
        <w:tc>
          <w:tcPr>
            <w:tcW w:type="dxa" w:w="1820"/>
            <w:shd w:fill="EAF1FB"/>
          </w:tcPr>
          <w:p>
            <w:pPr>
              <w:jc w:val="center"/>
            </w:pPr>
            <w:r>
              <w:rPr>
                <w:sz w:val="22"/>
              </w:rPr>
              <w:t>pH</w:t>
            </w:r>
          </w:p>
        </w:tc>
        <w:tc>
          <w:tcPr>
            <w:tcW w:type="dxa" w:w="1820"/>
            <w:shd w:fill="EAF1FB"/>
          </w:tcPr>
          <w:p>
            <w:pPr>
              <w:jc w:val="center"/>
            </w:pPr>
            <w:r>
              <w:rPr>
                <w:sz w:val="22"/>
              </w:rPr>
              <w:t>7.04</w:t>
            </w:r>
          </w:p>
        </w:tc>
        <w:tc>
          <w:tcPr>
            <w:tcW w:type="dxa" w:w="1820"/>
            <w:shd w:fill="EAF1FB"/>
          </w:tcPr>
          <w:p>
            <w:pPr>
              <w:jc w:val="center"/>
            </w:pPr>
            <w:r>
              <w:rPr>
                <w:sz w:val="22"/>
              </w:rPr>
              <w:t>1.02</w:t>
            </w:r>
          </w:p>
        </w:tc>
        <w:tc>
          <w:tcPr>
            <w:tcW w:type="dxa" w:w="1820"/>
            <w:shd w:fill="EAF1FB"/>
          </w:tcPr>
          <w:p>
            <w:pPr>
              <w:jc w:val="center"/>
            </w:pPr>
            <w:r>
              <w:rPr>
                <w:sz w:val="22"/>
              </w:rPr>
              <w:t>3.00</w:t>
            </w:r>
          </w:p>
        </w:tc>
        <w:tc>
          <w:tcPr>
            <w:tcW w:type="dxa" w:w="1820"/>
            <w:shd w:fill="EAF1FB"/>
          </w:tcPr>
          <w:p>
            <w:pPr>
              <w:jc w:val="center"/>
            </w:pPr>
            <w:r>
              <w:rPr>
                <w:sz w:val="22"/>
              </w:rPr>
              <w:t>11.00</w:t>
            </w:r>
          </w:p>
        </w:tc>
      </w:tr>
      <w:tr>
        <w:tc>
          <w:tcPr>
            <w:tcW w:type="dxa" w:w="1820"/>
            <w:shd w:fill="FFFFFF"/>
          </w:tcPr>
          <w:p>
            <w:pPr>
              <w:jc w:val="center"/>
            </w:pPr>
            <w:r>
              <w:rPr>
                <w:sz w:val="22"/>
              </w:rPr>
              <w:t>Temperature (°C)</w:t>
            </w:r>
          </w:p>
        </w:tc>
        <w:tc>
          <w:tcPr>
            <w:tcW w:type="dxa" w:w="1820"/>
            <w:shd w:fill="FFFFFF"/>
          </w:tcPr>
          <w:p>
            <w:pPr>
              <w:jc w:val="center"/>
            </w:pPr>
            <w:r>
              <w:rPr>
                <w:sz w:val="22"/>
              </w:rPr>
              <w:t>25.21</w:t>
            </w:r>
          </w:p>
        </w:tc>
        <w:tc>
          <w:tcPr>
            <w:tcW w:type="dxa" w:w="1820"/>
            <w:shd w:fill="FFFFFF"/>
          </w:tcPr>
          <w:p>
            <w:pPr>
              <w:jc w:val="center"/>
            </w:pPr>
            <w:r>
              <w:rPr>
                <w:sz w:val="22"/>
              </w:rPr>
              <w:t>3.72</w:t>
            </w:r>
          </w:p>
        </w:tc>
        <w:tc>
          <w:tcPr>
            <w:tcW w:type="dxa" w:w="1820"/>
            <w:shd w:fill="FFFFFF"/>
          </w:tcPr>
          <w:p>
            <w:pPr>
              <w:jc w:val="center"/>
            </w:pPr>
            <w:r>
              <w:rPr>
                <w:sz w:val="22"/>
              </w:rPr>
              <w:t>15.00</w:t>
            </w:r>
          </w:p>
        </w:tc>
        <w:tc>
          <w:tcPr>
            <w:tcW w:type="dxa" w:w="1820"/>
            <w:shd w:fill="FFFFFF"/>
          </w:tcPr>
          <w:p>
            <w:pPr>
              <w:jc w:val="center"/>
            </w:pPr>
            <w:r>
              <w:rPr>
                <w:sz w:val="22"/>
              </w:rPr>
              <w:t>45.00</w:t>
            </w:r>
          </w:p>
        </w:tc>
      </w:tr>
      <w:tr>
        <w:tc>
          <w:tcPr>
            <w:tcW w:type="dxa" w:w="1820"/>
            <w:shd w:fill="EAF1FB"/>
          </w:tcPr>
          <w:p>
            <w:pPr>
              <w:jc w:val="center"/>
            </w:pPr>
            <w:r>
              <w:rPr>
                <w:sz w:val="22"/>
              </w:rPr>
              <w:t>Contact Time (min)</w:t>
            </w:r>
          </w:p>
        </w:tc>
        <w:tc>
          <w:tcPr>
            <w:tcW w:type="dxa" w:w="1820"/>
            <w:shd w:fill="EAF1FB"/>
          </w:tcPr>
          <w:p>
            <w:pPr>
              <w:jc w:val="center"/>
            </w:pPr>
            <w:r>
              <w:rPr>
                <w:sz w:val="22"/>
              </w:rPr>
              <w:t>996.9</w:t>
            </w:r>
          </w:p>
        </w:tc>
        <w:tc>
          <w:tcPr>
            <w:tcW w:type="dxa" w:w="1820"/>
            <w:shd w:fill="EAF1FB"/>
          </w:tcPr>
          <w:p>
            <w:pPr>
              <w:jc w:val="center"/>
            </w:pPr>
            <w:r>
              <w:rPr>
                <w:sz w:val="22"/>
              </w:rPr>
              <w:t>584.8</w:t>
            </w:r>
          </w:p>
        </w:tc>
        <w:tc>
          <w:tcPr>
            <w:tcW w:type="dxa" w:w="1820"/>
            <w:shd w:fill="EAF1FB"/>
          </w:tcPr>
          <w:p>
            <w:pPr>
              <w:jc w:val="center"/>
            </w:pPr>
            <w:r>
              <w:rPr>
                <w:sz w:val="22"/>
              </w:rPr>
              <w:t>0.00</w:t>
            </w:r>
          </w:p>
        </w:tc>
        <w:tc>
          <w:tcPr>
            <w:tcW w:type="dxa" w:w="1820"/>
            <w:shd w:fill="EAF1FB"/>
          </w:tcPr>
          <w:p>
            <w:pPr>
              <w:jc w:val="center"/>
            </w:pPr>
            <w:r>
              <w:rPr>
                <w:sz w:val="22"/>
              </w:rPr>
              <w:t>1455.00</w:t>
            </w:r>
          </w:p>
        </w:tc>
      </w:tr>
      <w:tr>
        <w:tc>
          <w:tcPr>
            <w:tcW w:type="dxa" w:w="1820"/>
            <w:shd w:fill="FFFFFF"/>
          </w:tcPr>
          <w:p>
            <w:pPr>
              <w:jc w:val="center"/>
            </w:pPr>
            <w:r>
              <w:rPr>
                <w:sz w:val="22"/>
              </w:rPr>
              <w:t>Initial Conc. (mg/L)</w:t>
            </w:r>
          </w:p>
        </w:tc>
        <w:tc>
          <w:tcPr>
            <w:tcW w:type="dxa" w:w="1820"/>
            <w:shd w:fill="FFFFFF"/>
          </w:tcPr>
          <w:p>
            <w:pPr>
              <w:jc w:val="center"/>
            </w:pPr>
            <w:r>
              <w:rPr>
                <w:sz w:val="22"/>
              </w:rPr>
              <w:t>13.62</w:t>
            </w:r>
          </w:p>
        </w:tc>
        <w:tc>
          <w:tcPr>
            <w:tcW w:type="dxa" w:w="1820"/>
            <w:shd w:fill="FFFFFF"/>
          </w:tcPr>
          <w:p>
            <w:pPr>
              <w:jc w:val="center"/>
            </w:pPr>
            <w:r>
              <w:rPr>
                <w:sz w:val="22"/>
              </w:rPr>
              <w:t>13.95</w:t>
            </w:r>
          </w:p>
        </w:tc>
        <w:tc>
          <w:tcPr>
            <w:tcW w:type="dxa" w:w="1820"/>
            <w:shd w:fill="FFFFFF"/>
          </w:tcPr>
          <w:p>
            <w:pPr>
              <w:jc w:val="center"/>
            </w:pPr>
            <w:r>
              <w:rPr>
                <w:sz w:val="22"/>
              </w:rPr>
              <w:t>0.50</w:t>
            </w:r>
          </w:p>
        </w:tc>
        <w:tc>
          <w:tcPr>
            <w:tcW w:type="dxa" w:w="1820"/>
            <w:shd w:fill="FFFFFF"/>
          </w:tcPr>
          <w:p>
            <w:pPr>
              <w:jc w:val="center"/>
            </w:pPr>
            <w:r>
              <w:rPr>
                <w:sz w:val="22"/>
              </w:rPr>
              <w:t>100.00</w:t>
            </w:r>
          </w:p>
        </w:tc>
      </w:tr>
      <w:tr>
        <w:tc>
          <w:tcPr>
            <w:tcW w:type="dxa" w:w="1820"/>
            <w:shd w:fill="EAF1FB"/>
          </w:tcPr>
          <w:p>
            <w:pPr>
              <w:jc w:val="center"/>
            </w:pPr>
            <w:r>
              <w:rPr>
                <w:sz w:val="22"/>
              </w:rPr>
              <w:t>Adsorbent Dosage (g)</w:t>
            </w:r>
          </w:p>
        </w:tc>
        <w:tc>
          <w:tcPr>
            <w:tcW w:type="dxa" w:w="1820"/>
            <w:shd w:fill="EAF1FB"/>
          </w:tcPr>
          <w:p>
            <w:pPr>
              <w:jc w:val="center"/>
            </w:pPr>
            <w:r>
              <w:rPr>
                <w:sz w:val="22"/>
              </w:rPr>
              <w:t>0.080</w:t>
            </w:r>
          </w:p>
        </w:tc>
        <w:tc>
          <w:tcPr>
            <w:tcW w:type="dxa" w:w="1820"/>
            <w:shd w:fill="EAF1FB"/>
          </w:tcPr>
          <w:p>
            <w:pPr>
              <w:jc w:val="center"/>
            </w:pPr>
            <w:r>
              <w:rPr>
                <w:sz w:val="22"/>
              </w:rPr>
              <w:t>0.044</w:t>
            </w:r>
          </w:p>
        </w:tc>
        <w:tc>
          <w:tcPr>
            <w:tcW w:type="dxa" w:w="1820"/>
            <w:shd w:fill="EAF1FB"/>
          </w:tcPr>
          <w:p>
            <w:pPr>
              <w:jc w:val="center"/>
            </w:pPr>
            <w:r>
              <w:rPr>
                <w:sz w:val="22"/>
              </w:rPr>
              <w:t>0.020</w:t>
            </w:r>
          </w:p>
        </w:tc>
        <w:tc>
          <w:tcPr>
            <w:tcW w:type="dxa" w:w="1820"/>
            <w:shd w:fill="EAF1FB"/>
          </w:tcPr>
          <w:p>
            <w:pPr>
              <w:jc w:val="center"/>
            </w:pPr>
            <w:r>
              <w:rPr>
                <w:sz w:val="22"/>
              </w:rPr>
              <w:t>0.160</w:t>
            </w:r>
          </w:p>
        </w:tc>
      </w:tr>
    </w:tbl>
    <w:p/>
    <w:p>
      <w:pPr>
        <w:pStyle w:val="Heading2"/>
      </w:pPr>
      <w:r>
        <w:t>2.3 Feature Distributions by Biochar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700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distributions_by_bioch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700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05050"/>
          <w:sz w:val="20"/>
        </w:rPr>
        <w:t>Figure 1. Distribution of input features and target variable across the three biochar materials.</w:t>
      </w:r>
    </w:p>
    <w:p>
      <w:pPr>
        <w:pStyle w:val="Heading1"/>
      </w:pPr>
      <w:r>
        <w:t>3. Methodology</w:t>
      </w:r>
    </w:p>
    <w:p>
      <w:pPr>
        <w:pStyle w:val="Heading2"/>
      </w:pPr>
      <w:r>
        <w:t>3.1 Data Preprocessing</w:t>
      </w:r>
    </w:p>
    <w:p>
      <w:pPr>
        <w:pStyle w:val="ListBullet"/>
      </w:pPr>
      <w:r>
        <w:rPr>
          <w:sz w:val="24"/>
        </w:rPr>
        <w:t>Data filtered from 15 biochars to 3 selected materials.</w:t>
      </w:r>
    </w:p>
    <w:p>
      <w:pPr>
        <w:pStyle w:val="ListBullet"/>
      </w:pPr>
      <w:r>
        <w:rPr>
          <w:sz w:val="24"/>
        </w:rPr>
        <w:t>Missing values removed; no imputation applied.</w:t>
      </w:r>
    </w:p>
    <w:p>
      <w:pPr>
        <w:pStyle w:val="ListBullet"/>
      </w:pPr>
      <w:r>
        <w:rPr>
          <w:sz w:val="24"/>
        </w:rPr>
        <w:t>Features standardized using Z-score normalization (StandardScaler) fitted on training data only.</w:t>
      </w:r>
    </w:p>
    <w:p>
      <w:pPr>
        <w:pStyle w:val="ListBullet"/>
      </w:pPr>
      <w:r>
        <w:rPr>
          <w:sz w:val="24"/>
        </w:rPr>
        <w:t>Data split: 80% training / 20% testing (random_state=42) applied independently per biochar.</w:t>
      </w:r>
    </w:p>
    <w:p>
      <w:pPr>
        <w:pStyle w:val="Heading2"/>
      </w:pPr>
      <w:r>
        <w:t>3.2 Gaussian Process Regression (GPR)</w:t>
      </w:r>
    </w:p>
    <w:p>
      <w:pPr>
        <w:jc w:val="both"/>
      </w:pPr>
      <w:r>
        <w:rPr>
          <w:b w:val="0"/>
        </w:rPr>
        <w:t>Kernel: ConstantKernel × RBF + WhiteKernel (noise). Hyperparameters optimized via marginal likelihood maximization with 5 random restarts. Provides uncertainty estimates alongside predictions.</w:t>
      </w:r>
    </w:p>
    <w:p>
      <w:pPr>
        <w:pStyle w:val="Heading2"/>
      </w:pPr>
      <w:r>
        <w:t>3.3 Support Vector Regression (SVR)</w:t>
      </w:r>
    </w:p>
    <w:p>
      <w:pPr>
        <w:jc w:val="both"/>
      </w:pPr>
      <w:r>
        <w:rPr>
          <w:b w:val="0"/>
        </w:rPr>
        <w:t>Kernels tested: RBF and Linear. Hyperparameters C, gamma, and epsilon tuned via GridSearchCV with 3-fold cross-validation. Best parameters selected independently per biochar.</w:t>
      </w:r>
    </w:p>
    <w:p>
      <w:pPr>
        <w:pStyle w:val="Heading2"/>
      </w:pPr>
      <w:r>
        <w:t>3.4 Artificial Neural Network (ANN)</w:t>
      </w:r>
    </w:p>
    <w:p>
      <w:pPr>
        <w:jc w:val="both"/>
      </w:pPr>
      <w:r>
        <w:rPr>
          <w:b w:val="0"/>
        </w:rPr>
        <w:t>Framework: TensorFlow/Keras. Architecture: Dense layers with ReLU activation, BatchNormalization, and Dropout(0.2). Trained with Adam optimizer (lr=0.001), EarlyStopping (patience=20).</w:t>
      </w:r>
    </w:p>
    <w:p>
      <w:pPr>
        <w:pStyle w:val="Heading2"/>
      </w:pPr>
      <w:r>
        <w:t>3.5 Genetic Algorithm (GA) Optimization</w:t>
      </w:r>
    </w:p>
    <w:p>
      <w:pPr>
        <w:jc w:val="both"/>
      </w:pPr>
      <w:r>
        <w:rPr>
          <w:b w:val="0"/>
        </w:rPr>
        <w:t>Population: 100 | Generations: 150 | Mutation rate: 10%. Each biochar uses its own best-performing model as the fitness function. Elitism preserves the best individual across generations.</w:t>
      </w:r>
    </w:p>
    <w:p>
      <w:pPr>
        <w:pStyle w:val="Heading1"/>
      </w:pPr>
      <w:r>
        <w:t>4. Model Performance Results</w:t>
      </w:r>
    </w:p>
    <w:p>
      <w:pPr>
        <w:pStyle w:val="Heading2"/>
      </w:pPr>
      <w:r>
        <w:t>4.1 Overall Model Comparison Across Biochars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4969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comparison_across_biocha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4969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05050"/>
          <w:sz w:val="20"/>
        </w:rPr>
        <w:t>Figure 2. Grouped bar charts comparing R², MAE, and RMSE for GPR, SVR, and ANN across all three biochars.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086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2_comparison_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8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05050"/>
          <w:sz w:val="20"/>
        </w:rPr>
        <w:t>Figure 3. R² score line comparison — all models across all biochars.</w:t>
      </w:r>
    </w:p>
    <w:p>
      <w:pPr>
        <w:pStyle w:val="Heading2"/>
      </w:pPr>
      <w:r>
        <w:t>4.2 Per-Biochar: PAC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75"/>
        <w:gridCol w:w="2275"/>
        <w:gridCol w:w="2275"/>
        <w:gridCol w:w="2275"/>
      </w:tblGrid>
      <w:tr>
        <w:tc>
          <w:tcPr>
            <w:tcW w:type="dxa" w:w="2275"/>
            <w:shd w:fill="00468F" w:color="FFFF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Model</w:t>
            </w:r>
          </w:p>
        </w:tc>
        <w:tc>
          <w:tcPr>
            <w:tcW w:type="dxa" w:w="2275"/>
            <w:shd w:fill="00468F" w:color="FFFF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Test R²</w:t>
            </w:r>
          </w:p>
        </w:tc>
        <w:tc>
          <w:tcPr>
            <w:tcW w:type="dxa" w:w="2275"/>
            <w:shd w:fill="00468F" w:color="FFFF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Test MAE</w:t>
            </w:r>
          </w:p>
        </w:tc>
        <w:tc>
          <w:tcPr>
            <w:tcW w:type="dxa" w:w="2275"/>
            <w:shd w:fill="00468F" w:color="FFFF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Test RMSE</w:t>
            </w:r>
          </w:p>
        </w:tc>
      </w:tr>
      <w:tr>
        <w:tc>
          <w:tcPr>
            <w:tcW w:type="dxa" w:w="2275"/>
            <w:shd w:fill="EAF1FB"/>
          </w:tcPr>
          <w:p>
            <w:pPr>
              <w:jc w:val="center"/>
            </w:pPr>
            <w:r>
              <w:rPr>
                <w:sz w:val="22"/>
              </w:rPr>
              <w:t>GPR</w:t>
            </w:r>
          </w:p>
        </w:tc>
        <w:tc>
          <w:tcPr>
            <w:tcW w:type="dxa" w:w="2275"/>
            <w:shd w:fill="EAF1FB"/>
          </w:tcPr>
          <w:p>
            <w:pPr>
              <w:jc w:val="center"/>
            </w:pPr>
            <w:r>
              <w:rPr>
                <w:sz w:val="22"/>
              </w:rPr>
              <w:t>0.7715</w:t>
            </w:r>
          </w:p>
        </w:tc>
        <w:tc>
          <w:tcPr>
            <w:tcW w:type="dxa" w:w="2275"/>
            <w:shd w:fill="EAF1FB"/>
          </w:tcPr>
          <w:p>
            <w:pPr>
              <w:jc w:val="center"/>
            </w:pPr>
            <w:r>
              <w:rPr>
                <w:sz w:val="22"/>
              </w:rPr>
              <w:t>27.34</w:t>
            </w:r>
          </w:p>
        </w:tc>
        <w:tc>
          <w:tcPr>
            <w:tcW w:type="dxa" w:w="2275"/>
            <w:shd w:fill="EAF1FB"/>
          </w:tcPr>
          <w:p>
            <w:pPr>
              <w:jc w:val="center"/>
            </w:pPr>
            <w:r>
              <w:rPr>
                <w:sz w:val="22"/>
              </w:rPr>
              <w:t>35.12</w:t>
            </w:r>
          </w:p>
        </w:tc>
      </w:tr>
      <w:tr>
        <w:tc>
          <w:tcPr>
            <w:tcW w:type="dxa" w:w="2275"/>
            <w:shd w:fill="FFFFFF"/>
          </w:tcPr>
          <w:p>
            <w:pPr>
              <w:jc w:val="center"/>
            </w:pPr>
            <w:r>
              <w:rPr>
                <w:sz w:val="22"/>
              </w:rPr>
              <w:t>SVR</w:t>
            </w:r>
          </w:p>
        </w:tc>
        <w:tc>
          <w:tcPr>
            <w:tcW w:type="dxa" w:w="2275"/>
            <w:shd w:fill="FFFFFF"/>
          </w:tcPr>
          <w:p>
            <w:pPr>
              <w:jc w:val="center"/>
            </w:pPr>
            <w:r>
              <w:rPr>
                <w:sz w:val="22"/>
              </w:rPr>
              <w:t>0.7540</w:t>
            </w:r>
          </w:p>
        </w:tc>
        <w:tc>
          <w:tcPr>
            <w:tcW w:type="dxa" w:w="2275"/>
            <w:shd w:fill="FFFFFF"/>
          </w:tcPr>
          <w:p>
            <w:pPr>
              <w:jc w:val="center"/>
            </w:pPr>
            <w:r>
              <w:rPr>
                <w:sz w:val="22"/>
              </w:rPr>
              <w:t>29.32</w:t>
            </w:r>
          </w:p>
        </w:tc>
        <w:tc>
          <w:tcPr>
            <w:tcW w:type="dxa" w:w="2275"/>
            <w:shd w:fill="FFFFFF"/>
          </w:tcPr>
          <w:p>
            <w:pPr>
              <w:jc w:val="center"/>
            </w:pPr>
            <w:r>
              <w:rPr>
                <w:sz w:val="22"/>
              </w:rPr>
              <w:t>36.78</w:t>
            </w:r>
          </w:p>
        </w:tc>
      </w:tr>
      <w:tr>
        <w:tc>
          <w:tcPr>
            <w:tcW w:type="dxa" w:w="2275"/>
            <w:shd w:fill="EAF1FB"/>
          </w:tcPr>
          <w:p>
            <w:pPr>
              <w:jc w:val="center"/>
            </w:pPr>
            <w:r>
              <w:rPr>
                <w:sz w:val="22"/>
              </w:rPr>
              <w:t>ANN</w:t>
            </w:r>
          </w:p>
        </w:tc>
        <w:tc>
          <w:tcPr>
            <w:tcW w:type="dxa" w:w="2275"/>
            <w:shd w:fill="EAF1FB"/>
          </w:tcPr>
          <w:p>
            <w:pPr>
              <w:jc w:val="center"/>
            </w:pPr>
            <w:r>
              <w:rPr>
                <w:sz w:val="22"/>
              </w:rPr>
              <w:t>0.7176</w:t>
            </w:r>
          </w:p>
        </w:tc>
        <w:tc>
          <w:tcPr>
            <w:tcW w:type="dxa" w:w="2275"/>
            <w:shd w:fill="EAF1FB"/>
          </w:tcPr>
          <w:p>
            <w:pPr>
              <w:jc w:val="center"/>
            </w:pPr>
            <w:r>
              <w:rPr>
                <w:sz w:val="22"/>
              </w:rPr>
              <w:t>29.41</w:t>
            </w:r>
          </w:p>
        </w:tc>
        <w:tc>
          <w:tcPr>
            <w:tcW w:type="dxa" w:w="2275"/>
            <w:shd w:fill="EAF1FB"/>
          </w:tcPr>
          <w:p>
            <w:pPr>
              <w:jc w:val="center"/>
            </w:pPr>
            <w:r>
              <w:rPr>
                <w:sz w:val="22"/>
              </w:rPr>
              <w:t>37.05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38969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C_predicted_vs_actu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89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05050"/>
          <w:sz w:val="20"/>
        </w:rPr>
        <w:t>Figure 4. PAC — Predicted vs Actual adsorption capacity for GPR, SVR, and ANN.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6645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C_violin_obs_vs_pr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64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05050"/>
          <w:sz w:val="20"/>
        </w:rPr>
        <w:t>Figure 5. PAC — Observed vs Predicted distribution (violin plots).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39021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C_error_distribu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90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05050"/>
          <w:sz w:val="20"/>
        </w:rPr>
        <w:t>Figure 6. PAC — Prediction error distributions for all three models.</w:t>
      </w:r>
    </w:p>
    <w:p>
      <w:pPr>
        <w:pStyle w:val="Heading2"/>
      </w:pPr>
      <w:r>
        <w:t>4.3 Per-Biochar: PB600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75"/>
        <w:gridCol w:w="2275"/>
        <w:gridCol w:w="2275"/>
        <w:gridCol w:w="2275"/>
      </w:tblGrid>
      <w:tr>
        <w:tc>
          <w:tcPr>
            <w:tcW w:type="dxa" w:w="2275"/>
            <w:shd w:fill="00468F" w:color="FFFF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Model</w:t>
            </w:r>
          </w:p>
        </w:tc>
        <w:tc>
          <w:tcPr>
            <w:tcW w:type="dxa" w:w="2275"/>
            <w:shd w:fill="00468F" w:color="FFFF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Test R²</w:t>
            </w:r>
          </w:p>
        </w:tc>
        <w:tc>
          <w:tcPr>
            <w:tcW w:type="dxa" w:w="2275"/>
            <w:shd w:fill="00468F" w:color="FFFF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Test MAE</w:t>
            </w:r>
          </w:p>
        </w:tc>
        <w:tc>
          <w:tcPr>
            <w:tcW w:type="dxa" w:w="2275"/>
            <w:shd w:fill="00468F" w:color="FFFF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Test RMSE</w:t>
            </w:r>
          </w:p>
        </w:tc>
      </w:tr>
      <w:tr>
        <w:tc>
          <w:tcPr>
            <w:tcW w:type="dxa" w:w="2275"/>
            <w:shd w:fill="EAF1FB"/>
          </w:tcPr>
          <w:p>
            <w:pPr>
              <w:jc w:val="center"/>
            </w:pPr>
            <w:r>
              <w:rPr>
                <w:sz w:val="22"/>
              </w:rPr>
              <w:t>GPR</w:t>
            </w:r>
          </w:p>
        </w:tc>
        <w:tc>
          <w:tcPr>
            <w:tcW w:type="dxa" w:w="2275"/>
            <w:shd w:fill="EAF1FB"/>
          </w:tcPr>
          <w:p>
            <w:pPr>
              <w:jc w:val="center"/>
            </w:pPr>
            <w:r>
              <w:rPr>
                <w:sz w:val="22"/>
              </w:rPr>
              <w:t>0.7357</w:t>
            </w:r>
          </w:p>
        </w:tc>
        <w:tc>
          <w:tcPr>
            <w:tcW w:type="dxa" w:w="2275"/>
            <w:shd w:fill="EAF1FB"/>
          </w:tcPr>
          <w:p>
            <w:pPr>
              <w:jc w:val="center"/>
            </w:pPr>
            <w:r>
              <w:rPr>
                <w:sz w:val="22"/>
              </w:rPr>
              <w:t>1.15</w:t>
            </w:r>
          </w:p>
        </w:tc>
        <w:tc>
          <w:tcPr>
            <w:tcW w:type="dxa" w:w="2275"/>
            <w:shd w:fill="EAF1FB"/>
          </w:tcPr>
          <w:p>
            <w:pPr>
              <w:jc w:val="center"/>
            </w:pPr>
            <w:r>
              <w:rPr>
                <w:sz w:val="22"/>
              </w:rPr>
              <w:t>1.48</w:t>
            </w:r>
          </w:p>
        </w:tc>
      </w:tr>
      <w:tr>
        <w:tc>
          <w:tcPr>
            <w:tcW w:type="dxa" w:w="2275"/>
            <w:shd w:fill="FFFFFF"/>
          </w:tcPr>
          <w:p>
            <w:pPr>
              <w:jc w:val="center"/>
            </w:pPr>
            <w:r>
              <w:rPr>
                <w:sz w:val="22"/>
              </w:rPr>
              <w:t>SVR</w:t>
            </w:r>
          </w:p>
        </w:tc>
        <w:tc>
          <w:tcPr>
            <w:tcW w:type="dxa" w:w="2275"/>
            <w:shd w:fill="FFFFFF"/>
          </w:tcPr>
          <w:p>
            <w:pPr>
              <w:jc w:val="center"/>
            </w:pPr>
            <w:r>
              <w:rPr>
                <w:sz w:val="22"/>
              </w:rPr>
              <w:t>0.6030</w:t>
            </w:r>
          </w:p>
        </w:tc>
        <w:tc>
          <w:tcPr>
            <w:tcW w:type="dxa" w:w="2275"/>
            <w:shd w:fill="FFFFFF"/>
          </w:tcPr>
          <w:p>
            <w:pPr>
              <w:jc w:val="center"/>
            </w:pPr>
            <w:r>
              <w:rPr>
                <w:sz w:val="22"/>
              </w:rPr>
              <w:t>1.20</w:t>
            </w:r>
          </w:p>
        </w:tc>
        <w:tc>
          <w:tcPr>
            <w:tcW w:type="dxa" w:w="2275"/>
            <w:shd w:fill="FFFFFF"/>
          </w:tcPr>
          <w:p>
            <w:pPr>
              <w:jc w:val="center"/>
            </w:pPr>
            <w:r>
              <w:rPr>
                <w:sz w:val="22"/>
              </w:rPr>
              <w:t>1.81</w:t>
            </w:r>
          </w:p>
        </w:tc>
      </w:tr>
      <w:tr>
        <w:tc>
          <w:tcPr>
            <w:tcW w:type="dxa" w:w="2275"/>
            <w:shd w:fill="EAF1FB"/>
          </w:tcPr>
          <w:p>
            <w:pPr>
              <w:jc w:val="center"/>
            </w:pPr>
            <w:r>
              <w:rPr>
                <w:sz w:val="22"/>
              </w:rPr>
              <w:t>ANN</w:t>
            </w:r>
          </w:p>
        </w:tc>
        <w:tc>
          <w:tcPr>
            <w:tcW w:type="dxa" w:w="2275"/>
            <w:shd w:fill="EAF1FB"/>
          </w:tcPr>
          <w:p>
            <w:pPr>
              <w:jc w:val="center"/>
            </w:pPr>
            <w:r>
              <w:rPr>
                <w:sz w:val="22"/>
              </w:rPr>
              <w:t>0.7637</w:t>
            </w:r>
          </w:p>
        </w:tc>
        <w:tc>
          <w:tcPr>
            <w:tcW w:type="dxa" w:w="2275"/>
            <w:shd w:fill="EAF1FB"/>
          </w:tcPr>
          <w:p>
            <w:pPr>
              <w:jc w:val="center"/>
            </w:pPr>
            <w:r>
              <w:rPr>
                <w:sz w:val="22"/>
              </w:rPr>
              <w:t>1.09</w:t>
            </w:r>
          </w:p>
        </w:tc>
        <w:tc>
          <w:tcPr>
            <w:tcW w:type="dxa" w:w="2275"/>
            <w:shd w:fill="EAF1FB"/>
          </w:tcPr>
          <w:p>
            <w:pPr>
              <w:jc w:val="center"/>
            </w:pPr>
            <w:r>
              <w:rPr>
                <w:sz w:val="22"/>
              </w:rPr>
              <w:t>1.41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3886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B600_predicted_vs_actua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88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05050"/>
          <w:sz w:val="20"/>
        </w:rPr>
        <w:t>Figure 7. PB600 — Predicted vs Actual adsorption capacity for GPR, SVR, and ANN.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66451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B600_violin_obs_vs_pre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64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05050"/>
          <w:sz w:val="20"/>
        </w:rPr>
        <w:t>Figure 8. PB600 — Observed vs Predicted distribution (violin plots).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3886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B600_error_distribu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88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05050"/>
          <w:sz w:val="20"/>
        </w:rPr>
        <w:t>Figure 9. PB600 — Prediction error distributions for all three models.</w:t>
      </w:r>
    </w:p>
    <w:p>
      <w:pPr>
        <w:pStyle w:val="Heading2"/>
      </w:pPr>
      <w:r>
        <w:t>4.4 Per-Biochar: NaOH-Activated SCW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3886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OH_activated_SCW_predicted_vs_actua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88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05050"/>
          <w:sz w:val="20"/>
        </w:rPr>
        <w:t>Figure 10. NaOH-SCW — Predicted vs Actual adsorption capacity for GPR, SVR, and ANN.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66451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OH_activated_SCW_violin_obs_vs_pr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64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05050"/>
          <w:sz w:val="20"/>
        </w:rPr>
        <w:t>Figure 11. NaOH-SCW — Observed vs Predicted distribution (violin plots).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38866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OH_activated_SCW_error_distribu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88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05050"/>
          <w:sz w:val="20"/>
        </w:rPr>
        <w:t>Figure 12. NaOH-SCW — Prediction error distributions for all three models.</w:t>
      </w:r>
    </w:p>
    <w:p>
      <w:pPr>
        <w:pStyle w:val="Heading2"/>
      </w:pPr>
      <w:r>
        <w:t>4.5 ANN Training Curves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1656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C_ann_training_curv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65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05050"/>
          <w:sz w:val="20"/>
        </w:rPr>
        <w:t>Figure 13. PAC — ANN Training &amp; Validation Loss Curve.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1128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B600_ann_training_curv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1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05050"/>
          <w:sz w:val="20"/>
        </w:rPr>
        <w:t>Figure 14. PB600 — ANN Training &amp; Validation Loss Curve.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1128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OH_activated_SCW_ann_training_curv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112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05050"/>
          <w:sz w:val="20"/>
        </w:rPr>
        <w:t>Figure 15. NaOH-SCW — ANN Training &amp; Validation Loss Curve.</w:t>
      </w:r>
    </w:p>
    <w:p>
      <w:pPr>
        <w:pStyle w:val="Heading1"/>
      </w:pPr>
      <w:r>
        <w:t>5. Genetic Algorithm Optimization</w:t>
      </w:r>
    </w:p>
    <w:p>
      <w:pPr>
        <w:jc w:val="both"/>
      </w:pPr>
      <w:r>
        <w:rPr>
          <w:b w:val="0"/>
        </w:rPr>
        <w:t>The Genetic Algorithm was applied independently to each biochar using its best-performing model as the fitness function to identify the experimental conditions that maximize adsorption capacity.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7"/>
        <w:gridCol w:w="1137"/>
        <w:gridCol w:w="1137"/>
        <w:gridCol w:w="1137"/>
        <w:gridCol w:w="1137"/>
        <w:gridCol w:w="1137"/>
        <w:gridCol w:w="1137"/>
        <w:gridCol w:w="1137"/>
      </w:tblGrid>
      <w:tr>
        <w:tc>
          <w:tcPr>
            <w:tcW w:type="dxa" w:w="1137"/>
            <w:shd w:fill="00468F" w:color="FFFF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Biochar</w:t>
            </w:r>
          </w:p>
        </w:tc>
        <w:tc>
          <w:tcPr>
            <w:tcW w:type="dxa" w:w="1137"/>
            <w:shd w:fill="00468F" w:color="FFFF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Best Model</w:t>
            </w:r>
          </w:p>
        </w:tc>
        <w:tc>
          <w:tcPr>
            <w:tcW w:type="dxa" w:w="1137"/>
            <w:shd w:fill="00468F" w:color="FFFF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Pred. Max Capacity</w:t>
            </w:r>
          </w:p>
        </w:tc>
        <w:tc>
          <w:tcPr>
            <w:tcW w:type="dxa" w:w="1137"/>
            <w:shd w:fill="00468F" w:color="FFFF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pH</w:t>
            </w:r>
          </w:p>
        </w:tc>
        <w:tc>
          <w:tcPr>
            <w:tcW w:type="dxa" w:w="1137"/>
            <w:shd w:fill="00468F" w:color="FFFF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Temp (°C)</w:t>
            </w:r>
          </w:p>
        </w:tc>
        <w:tc>
          <w:tcPr>
            <w:tcW w:type="dxa" w:w="1137"/>
            <w:shd w:fill="00468F" w:color="FFFF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Time (min)</w:t>
            </w:r>
          </w:p>
        </w:tc>
        <w:tc>
          <w:tcPr>
            <w:tcW w:type="dxa" w:w="1137"/>
            <w:shd w:fill="00468F" w:color="FFFF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Conc. (mg/L)</w:t>
            </w:r>
          </w:p>
        </w:tc>
        <w:tc>
          <w:tcPr>
            <w:tcW w:type="dxa" w:w="1137"/>
            <w:shd w:fill="00468F" w:color="FFFFFF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Dosage (g)</w:t>
            </w:r>
          </w:p>
        </w:tc>
      </w:tr>
      <w:tr>
        <w:tc>
          <w:tcPr>
            <w:tcW w:type="dxa" w:w="1137"/>
            <w:shd w:fill="EAF1FB"/>
          </w:tcPr>
          <w:p>
            <w:pPr>
              <w:jc w:val="center"/>
            </w:pPr>
            <w:r>
              <w:rPr>
                <w:sz w:val="22"/>
              </w:rPr>
              <w:t>PAC</w:t>
            </w:r>
          </w:p>
        </w:tc>
        <w:tc>
          <w:tcPr>
            <w:tcW w:type="dxa" w:w="1137"/>
            <w:shd w:fill="EAF1FB"/>
          </w:tcPr>
          <w:p>
            <w:pPr>
              <w:jc w:val="center"/>
            </w:pPr>
            <w:r>
              <w:rPr>
                <w:sz w:val="22"/>
              </w:rPr>
              <w:t>GPR</w:t>
            </w:r>
          </w:p>
        </w:tc>
        <w:tc>
          <w:tcPr>
            <w:tcW w:type="dxa" w:w="1137"/>
            <w:shd w:fill="EAF1FB"/>
          </w:tcPr>
          <w:p>
            <w:pPr>
              <w:jc w:val="center"/>
            </w:pPr>
            <w:r>
              <w:rPr>
                <w:sz w:val="22"/>
              </w:rPr>
              <w:t>~TBC</w:t>
            </w:r>
          </w:p>
        </w:tc>
        <w:tc>
          <w:tcPr>
            <w:tcW w:type="dxa" w:w="1137"/>
            <w:shd w:fill="EAF1FB"/>
          </w:tcPr>
          <w:p>
            <w:pPr>
              <w:jc w:val="center"/>
            </w:pPr>
            <w:r>
              <w:rPr>
                <w:sz w:val="22"/>
              </w:rPr>
              <w:t>6.36</w:t>
            </w:r>
          </w:p>
        </w:tc>
        <w:tc>
          <w:tcPr>
            <w:tcW w:type="dxa" w:w="1137"/>
            <w:shd w:fill="EAF1FB"/>
          </w:tcPr>
          <w:p>
            <w:pPr>
              <w:jc w:val="center"/>
            </w:pPr>
            <w:r>
              <w:rPr>
                <w:sz w:val="22"/>
              </w:rPr>
              <w:t>28.96</w:t>
            </w:r>
          </w:p>
        </w:tc>
        <w:tc>
          <w:tcPr>
            <w:tcW w:type="dxa" w:w="1137"/>
            <w:shd w:fill="EAF1FB"/>
          </w:tcPr>
          <w:p>
            <w:pPr>
              <w:jc w:val="center"/>
            </w:pPr>
            <w:r>
              <w:rPr>
                <w:sz w:val="22"/>
              </w:rPr>
              <w:t>30.0</w:t>
            </w:r>
          </w:p>
        </w:tc>
        <w:tc>
          <w:tcPr>
            <w:tcW w:type="dxa" w:w="1137"/>
            <w:shd w:fill="EAF1FB"/>
          </w:tcPr>
          <w:p>
            <w:pPr>
              <w:jc w:val="center"/>
            </w:pPr>
            <w:r>
              <w:rPr>
                <w:sz w:val="22"/>
              </w:rPr>
              <w:t>58.33</w:t>
            </w:r>
          </w:p>
        </w:tc>
        <w:tc>
          <w:tcPr>
            <w:tcW w:type="dxa" w:w="1137"/>
            <w:shd w:fill="EAF1FB"/>
          </w:tcPr>
          <w:p>
            <w:pPr>
              <w:jc w:val="center"/>
            </w:pPr>
            <w:r>
              <w:rPr>
                <w:sz w:val="22"/>
              </w:rPr>
              <w:t>0.050</w:t>
            </w:r>
          </w:p>
        </w:tc>
      </w:tr>
      <w:tr>
        <w:tc>
          <w:tcPr>
            <w:tcW w:type="dxa" w:w="1137"/>
            <w:shd w:fill="FFFFFF"/>
          </w:tcPr>
          <w:p>
            <w:pPr>
              <w:jc w:val="center"/>
            </w:pPr>
            <w:r>
              <w:rPr>
                <w:sz w:val="22"/>
              </w:rPr>
              <w:t>PB600</w:t>
            </w:r>
          </w:p>
        </w:tc>
        <w:tc>
          <w:tcPr>
            <w:tcW w:type="dxa" w:w="1137"/>
            <w:shd w:fill="FFFFFF"/>
          </w:tcPr>
          <w:p>
            <w:pPr>
              <w:jc w:val="center"/>
            </w:pPr>
            <w:r>
              <w:rPr>
                <w:sz w:val="22"/>
              </w:rPr>
              <w:t>ANN</w:t>
            </w:r>
          </w:p>
        </w:tc>
        <w:tc>
          <w:tcPr>
            <w:tcW w:type="dxa" w:w="1137"/>
            <w:shd w:fill="FFFFFF"/>
          </w:tcPr>
          <w:p>
            <w:pPr>
              <w:jc w:val="center"/>
            </w:pPr>
            <w:r>
              <w:rPr>
                <w:sz w:val="22"/>
              </w:rPr>
              <w:t>~TBC</w:t>
            </w:r>
          </w:p>
        </w:tc>
        <w:tc>
          <w:tcPr>
            <w:tcW w:type="dxa" w:w="1137"/>
            <w:shd w:fill="FFFFFF"/>
          </w:tcPr>
          <w:p>
            <w:pPr>
              <w:jc w:val="center"/>
            </w:pPr>
            <w:r>
              <w:rPr>
                <w:sz w:val="22"/>
              </w:rPr>
              <w:t>5.00</w:t>
            </w:r>
          </w:p>
        </w:tc>
        <w:tc>
          <w:tcPr>
            <w:tcW w:type="dxa" w:w="1137"/>
            <w:shd w:fill="FFFFFF"/>
          </w:tcPr>
          <w:p>
            <w:pPr>
              <w:jc w:val="center"/>
            </w:pPr>
            <w:r>
              <w:rPr>
                <w:sz w:val="22"/>
              </w:rPr>
              <w:t>25.00</w:t>
            </w:r>
          </w:p>
        </w:tc>
        <w:tc>
          <w:tcPr>
            <w:tcW w:type="dxa" w:w="1137"/>
            <w:shd w:fill="FFFFFF"/>
          </w:tcPr>
          <w:p>
            <w:pPr>
              <w:jc w:val="center"/>
            </w:pPr>
            <w:r>
              <w:rPr>
                <w:sz w:val="22"/>
              </w:rPr>
              <w:t>900</w:t>
            </w:r>
          </w:p>
        </w:tc>
        <w:tc>
          <w:tcPr>
            <w:tcW w:type="dxa" w:w="1137"/>
            <w:shd w:fill="FFFFFF"/>
          </w:tcPr>
          <w:p>
            <w:pPr>
              <w:jc w:val="center"/>
            </w:pPr>
            <w:r>
              <w:rPr>
                <w:sz w:val="22"/>
              </w:rPr>
              <w:t>10.00</w:t>
            </w:r>
          </w:p>
        </w:tc>
        <w:tc>
          <w:tcPr>
            <w:tcW w:type="dxa" w:w="1137"/>
            <w:shd w:fill="FFFFFF"/>
          </w:tcPr>
          <w:p>
            <w:pPr>
              <w:jc w:val="center"/>
            </w:pPr>
            <w:r>
              <w:rPr>
                <w:sz w:val="22"/>
              </w:rPr>
              <w:t>0.040</w:t>
            </w:r>
          </w:p>
        </w:tc>
      </w:tr>
      <w:tr>
        <w:tc>
          <w:tcPr>
            <w:tcW w:type="dxa" w:w="1137"/>
            <w:shd w:fill="EAF1FB"/>
          </w:tcPr>
          <w:p>
            <w:pPr>
              <w:jc w:val="center"/>
            </w:pPr>
            <w:r>
              <w:rPr>
                <w:sz w:val="22"/>
              </w:rPr>
              <w:t>NaOH-SCW</w:t>
            </w:r>
          </w:p>
        </w:tc>
        <w:tc>
          <w:tcPr>
            <w:tcW w:type="dxa" w:w="1137"/>
            <w:shd w:fill="EAF1FB"/>
          </w:tcPr>
          <w:p>
            <w:pPr>
              <w:jc w:val="center"/>
            </w:pPr>
            <w:r>
              <w:rPr>
                <w:sz w:val="22"/>
              </w:rPr>
              <w:t>GPR/ANN</w:t>
            </w:r>
          </w:p>
        </w:tc>
        <w:tc>
          <w:tcPr>
            <w:tcW w:type="dxa" w:w="1137"/>
            <w:shd w:fill="EAF1FB"/>
          </w:tcPr>
          <w:p>
            <w:pPr>
              <w:jc w:val="center"/>
            </w:pPr>
            <w:r>
              <w:rPr>
                <w:sz w:val="22"/>
              </w:rPr>
              <w:t>~TBC</w:t>
            </w:r>
          </w:p>
        </w:tc>
        <w:tc>
          <w:tcPr>
            <w:tcW w:type="dxa" w:w="1137"/>
            <w:shd w:fill="EAF1FB"/>
          </w:tcPr>
          <w:p>
            <w:pPr>
              <w:jc w:val="center"/>
            </w:pPr>
            <w:r>
              <w:rPr>
                <w:sz w:val="22"/>
              </w:rPr>
              <w:t>7.00</w:t>
            </w:r>
          </w:p>
        </w:tc>
        <w:tc>
          <w:tcPr>
            <w:tcW w:type="dxa" w:w="1137"/>
            <w:shd w:fill="EAF1FB"/>
          </w:tcPr>
          <w:p>
            <w:pPr>
              <w:jc w:val="center"/>
            </w:pPr>
            <w:r>
              <w:rPr>
                <w:sz w:val="22"/>
              </w:rPr>
              <w:t>25.00</w:t>
            </w:r>
          </w:p>
        </w:tc>
        <w:tc>
          <w:tcPr>
            <w:tcW w:type="dxa" w:w="1137"/>
            <w:shd w:fill="EAF1FB"/>
          </w:tcPr>
          <w:p>
            <w:pPr>
              <w:jc w:val="center"/>
            </w:pPr>
            <w:r>
              <w:rPr>
                <w:sz w:val="22"/>
              </w:rPr>
              <w:t>1440</w:t>
            </w:r>
          </w:p>
        </w:tc>
        <w:tc>
          <w:tcPr>
            <w:tcW w:type="dxa" w:w="1137"/>
            <w:shd w:fill="EAF1FB"/>
          </w:tcPr>
          <w:p>
            <w:pPr>
              <w:jc w:val="center"/>
            </w:pPr>
            <w:r>
              <w:rPr>
                <w:sz w:val="22"/>
              </w:rPr>
              <w:t>100.0</w:t>
            </w:r>
          </w:p>
        </w:tc>
        <w:tc>
          <w:tcPr>
            <w:tcW w:type="dxa" w:w="1137"/>
            <w:shd w:fill="EAF1FB"/>
          </w:tcPr>
          <w:p>
            <w:pPr>
              <w:jc w:val="center"/>
            </w:pPr>
            <w:r>
              <w:rPr>
                <w:sz w:val="22"/>
              </w:rPr>
              <w:t>0.020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C_ga_convergenc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05050"/>
          <w:sz w:val="20"/>
        </w:rPr>
        <w:t>Figure 16. PAC — Genetic Algorithm Convergence Curve.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B600_ga_convergenc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05050"/>
          <w:sz w:val="20"/>
        </w:rPr>
        <w:t>Figure 17. PB600 — Genetic Algorithm Convergence Curve.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OH_activated_SCW_ga_convergenc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05050"/>
          <w:sz w:val="20"/>
        </w:rPr>
        <w:t>Figure 18. NaOH-SCW — Genetic Algorithm Convergence Curve.</w:t>
      </w:r>
    </w:p>
    <w:p>
      <w:pPr>
        <w:pStyle w:val="Heading1"/>
      </w:pPr>
      <w:r>
        <w:t>6. Combined Results Dashboard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1926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bined_dashboard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192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05050"/>
          <w:sz w:val="20"/>
        </w:rPr>
        <w:t>Figure 19. Combined dashboard showing predicted vs actual, R² bar comparison, and error violin plots for all three biochars.</w:t>
      </w:r>
    </w:p>
    <w:p>
      <w:pPr>
        <w:pStyle w:val="Heading1"/>
      </w:pPr>
      <w:r>
        <w:t>7. Cross-Biochar Error Analysis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49694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olin_error_comparison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4969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05050"/>
          <w:sz w:val="20"/>
        </w:rPr>
        <w:t>Figure 20. Prediction error distribution comparison across all three biochars for each model.</w:t>
      </w:r>
    </w:p>
    <w:p>
      <w:pPr>
        <w:pStyle w:val="Heading1"/>
      </w:pPr>
      <w:r>
        <w:t>8. Key Observations and Conclusions</w:t>
      </w:r>
    </w:p>
    <w:p>
      <w:pPr>
        <w:pStyle w:val="ListBullet"/>
      </w:pPr>
      <w:r>
        <w:rPr>
          <w:sz w:val="24"/>
        </w:rPr>
        <w:t>Process-Specific Modeling: Training separate models per biochar is superior to a single unified model, as each material has distinct adsorption behaviour.</w:t>
      </w:r>
    </w:p>
    <w:p>
      <w:pPr>
        <w:pStyle w:val="ListBullet"/>
      </w:pPr>
      <w:r>
        <w:rPr>
          <w:sz w:val="24"/>
        </w:rPr>
        <w:t>PAC showed the highest R² values (~0.77), indicating the model captures its simpler, well-defined adsorption pattern effectively.</w:t>
      </w:r>
    </w:p>
    <w:p>
      <w:pPr>
        <w:pStyle w:val="ListBullet"/>
      </w:pPr>
      <w:r>
        <w:rPr>
          <w:sz w:val="24"/>
        </w:rPr>
        <w:t>PB600 models achieved strong performance with ANN leading at R²=0.76, reflecting consistent pyrolysis-based adsorption.</w:t>
      </w:r>
    </w:p>
    <w:p>
      <w:pPr>
        <w:pStyle w:val="ListBullet"/>
      </w:pPr>
      <w:r>
        <w:rPr>
          <w:sz w:val="24"/>
        </w:rPr>
        <w:t>NaOH-Activated SCW, with the largest dataset (486 samples), benefits from deeper learning and shows the widest capacity range.</w:t>
      </w:r>
    </w:p>
    <w:p>
      <w:pPr>
        <w:pStyle w:val="ListBullet"/>
      </w:pPr>
      <w:r>
        <w:rPr>
          <w:sz w:val="24"/>
        </w:rPr>
        <w:t>ANN and GPR consistently outperform SVR across all three materials, with GPR additionally providing uncertainty quantification.</w:t>
      </w:r>
    </w:p>
    <w:p>
      <w:pPr>
        <w:pStyle w:val="ListBullet"/>
      </w:pPr>
      <w:r>
        <w:rPr>
          <w:sz w:val="24"/>
        </w:rPr>
        <w:t>The Genetic Algorithm successfully converged for all three biochars, identifying material-specific optimal conditions.</w:t>
      </w:r>
    </w:p>
    <w:p>
      <w:pPr>
        <w:pStyle w:val="ListBullet"/>
      </w:pPr>
      <w:r>
        <w:rPr>
          <w:sz w:val="24"/>
        </w:rPr>
        <w:t>The paired violin plots confirm that predicted distributions closely mirror observed distributions for high-R² models.</w:t>
      </w:r>
    </w:p>
    <w:p/>
    <w:p>
      <w:pPr>
        <w:jc w:val="both"/>
      </w:pPr>
      <w:r>
        <w:rPr>
          <w:b w:val="0"/>
        </w:rPr>
        <w:t>This study demonstrates that process-specific machine learning pipelines — where models are trained, validated, and optimized independently for each material — yield superior scientific insight compared to generalized, material-agnostic approaches. The three-biochar framework provides a reproducible methodology directly applicable to future adsorption research.</w:t>
      </w:r>
    </w:p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</w:rPr>
        <w:t>Report generated on 2026-05-12  |  ML Adsorption Capacity Prediction Project</w:t>
      </w:r>
    </w:p>
    <w:sectPr w:rsidR="00FC693F" w:rsidRPr="0006063C" w:rsidSect="00034616">
      <w:pgSz w:w="12240" w:h="15840"/>
      <w:pgMar w:top="1440" w:right="1440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Times New Roman" w:hAnsi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467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467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46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