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iCs/>
          <w:caps/>
          <w:szCs w:val="28"/>
        </w:rPr>
      </w:pPr>
      <w:r>
        <w:rPr>
          <w:rFonts w:ascii="Arial" w:hAnsi="Arial" w:cs="Arial"/>
          <w:b/>
          <w:bCs/>
          <w:iCs/>
          <w:caps/>
          <w:szCs w:val="28"/>
        </w:rPr>
        <w:t>Вводные данные:</w:t>
      </w:r>
    </w:p>
    <w:p>
      <w:pPr>
        <w:pStyle w:val="78"/>
      </w:pPr>
      <w:r>
        <w:rPr>
          <w:rFonts w:eastAsia="Calibri"/>
        </w:rPr>
        <w:t>Система выявления рисков ИБ</w:t>
      </w:r>
      <w:r>
        <w:t xml:space="preserve"> (СВРИБ) обеспечивает проведение инвентаризации в отдельных сегментах сети и передачу данных на центральный сервер. Физически данный компонент размещается отдельно от центрального сервера.</w:t>
      </w:r>
    </w:p>
    <w:p>
      <w:pPr>
        <w:spacing w:after="60"/>
        <w:jc w:val="both"/>
      </w:pPr>
      <w:r>
        <w:t>ИС Локального узла СВРИБ предназначена для автоматизации следующих бизнес-процессов:</w:t>
      </w:r>
    </w:p>
    <w:p>
      <w:pPr>
        <w:pStyle w:val="78"/>
        <w:numPr>
          <w:ilvl w:val="0"/>
          <w:numId w:val="5"/>
        </w:numPr>
        <w:tabs>
          <w:tab w:val="left" w:pos="1134"/>
        </w:tabs>
        <w:spacing w:before="0" w:after="60"/>
        <w:ind w:left="567" w:hanging="567"/>
      </w:pPr>
      <w:r>
        <w:t xml:space="preserve">Управление рисками ИБ в </w:t>
      </w:r>
      <w:r>
        <w:rPr>
          <w:rFonts w:eastAsia="Calibri"/>
        </w:rPr>
        <w:t>ООО «Саратовский Завод»</w:t>
      </w:r>
      <w:r>
        <w:t>.</w:t>
      </w:r>
    </w:p>
    <w:p>
      <w:pPr>
        <w:pStyle w:val="78"/>
        <w:spacing w:before="0" w:after="60"/>
        <w:ind w:left="567"/>
      </w:pPr>
      <w:r>
        <w:t xml:space="preserve">Контроль соответствия требованиям ИБ в процессе жизненного цикла в </w:t>
      </w:r>
      <w:r>
        <w:rPr>
          <w:rFonts w:eastAsia="Calibri"/>
        </w:rPr>
        <w:t>ООО «Саратовский Завод»</w:t>
      </w:r>
    </w:p>
    <w:p>
      <w:pPr>
        <w:pStyle w:val="78"/>
        <w:numPr>
          <w:ilvl w:val="0"/>
          <w:numId w:val="5"/>
        </w:numPr>
        <w:tabs>
          <w:tab w:val="left" w:pos="1134"/>
        </w:tabs>
        <w:spacing w:before="0" w:after="60"/>
        <w:ind w:left="567" w:hanging="567"/>
      </w:pPr>
      <w:r>
        <w:t xml:space="preserve">Контроль защищенности ИТ-активов в </w:t>
      </w:r>
      <w:r>
        <w:rPr>
          <w:rFonts w:eastAsia="Calibri"/>
        </w:rPr>
        <w:t>ООО «Саратовский Завод»</w:t>
      </w:r>
    </w:p>
    <w:p>
      <w:pPr>
        <w:pStyle w:val="86"/>
        <w:numPr>
          <w:ilvl w:val="0"/>
          <w:numId w:val="0"/>
        </w:numPr>
        <w:jc w:val="both"/>
      </w:pPr>
      <w:r>
        <w:rPr>
          <w:caps/>
        </w:rPr>
        <w:br w:type="textWrapping"/>
      </w:r>
      <w:r>
        <w:t>Максимальный уровень конфиденциальности информации, обрабатываемой в Системе –конфиденциальная: {коммерческая тайна}.</w:t>
      </w:r>
    </w:p>
    <w:p>
      <w:pPr>
        <w:pStyle w:val="78"/>
      </w:pPr>
      <w:r>
        <w:t>Режим доступа к информации (отметить одно из представленных):</w:t>
      </w:r>
    </w:p>
    <w:tbl>
      <w:tblPr>
        <w:tblStyle w:val="12"/>
        <w:tblW w:w="830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460"/>
        <w:gridCol w:w="6606"/>
      </w:tblGrid>
      <w:tr>
        <w:tc>
          <w:tcPr>
            <w:tcW w:w="1241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jc w:val="right"/>
            </w:pPr>
          </w:p>
        </w:tc>
        <w:tc>
          <w:tcPr>
            <w:tcW w:w="460" w:type="dxa"/>
          </w:tcPr>
          <w:p>
            <w:pPr>
              <w:pStyle w:val="86"/>
              <w:numPr>
                <w:ilvl w:val="0"/>
                <w:numId w:val="0"/>
              </w:numPr>
            </w:pPr>
            <w:r>
              <w:rPr>
                <w:rFonts w:ascii="MS Gothic" w:hAnsi="MS Gothic" w:eastAsia="MS Gothic"/>
              </w:rPr>
              <w:t>☐</w:t>
            </w:r>
          </w:p>
        </w:tc>
        <w:tc>
          <w:tcPr>
            <w:tcW w:w="6606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</w:pPr>
            <w:r>
              <w:t>Однопользовательская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jc w:val="right"/>
            </w:pPr>
          </w:p>
        </w:tc>
        <w:tc>
          <w:tcPr>
            <w:tcW w:w="460" w:type="dxa"/>
          </w:tcPr>
          <w:p>
            <w:pPr>
              <w:pStyle w:val="86"/>
              <w:numPr>
                <w:ilvl w:val="0"/>
                <w:numId w:val="0"/>
              </w:numPr>
            </w:pPr>
            <w:r>
              <w:rPr>
                <w:rFonts w:ascii="MS Gothic" w:hAnsi="MS Gothic" w:eastAsia="MS Gothic"/>
              </w:rPr>
              <w:t>☒</w:t>
            </w:r>
          </w:p>
        </w:tc>
        <w:tc>
          <w:tcPr>
            <w:tcW w:w="6606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</w:pPr>
            <w:r>
              <w:t>Многопользовательская</w:t>
            </w:r>
          </w:p>
        </w:tc>
      </w:tr>
    </w:tbl>
    <w:p>
      <w:pPr>
        <w:pStyle w:val="78"/>
      </w:pPr>
      <w:r>
        <w:t>Необходимость разграничения доступа к информации (отметить одно из представленных):</w:t>
      </w:r>
    </w:p>
    <w:tbl>
      <w:tblPr>
        <w:tblStyle w:val="12"/>
        <w:tblW w:w="830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460"/>
        <w:gridCol w:w="66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jc w:val="right"/>
            </w:pPr>
          </w:p>
        </w:tc>
        <w:tc>
          <w:tcPr>
            <w:tcW w:w="460" w:type="dxa"/>
          </w:tcPr>
          <w:p>
            <w:pPr>
              <w:pStyle w:val="86"/>
              <w:numPr>
                <w:ilvl w:val="0"/>
                <w:numId w:val="0"/>
              </w:numPr>
            </w:pPr>
            <w:r>
              <w:rPr>
                <w:rFonts w:ascii="MS Gothic" w:hAnsi="MS Gothic" w:eastAsia="MS Gothic"/>
              </w:rPr>
              <w:t>☒</w:t>
            </w:r>
          </w:p>
        </w:tc>
        <w:tc>
          <w:tcPr>
            <w:tcW w:w="6606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lang w:val="en-US"/>
              </w:rPr>
            </w:pPr>
            <w:r>
              <w:t>Необходимо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jc w:val="right"/>
            </w:pPr>
          </w:p>
        </w:tc>
        <w:tc>
          <w:tcPr>
            <w:tcW w:w="460" w:type="dxa"/>
          </w:tcPr>
          <w:p>
            <w:pPr>
              <w:pStyle w:val="86"/>
              <w:numPr>
                <w:ilvl w:val="0"/>
                <w:numId w:val="0"/>
              </w:numPr>
            </w:pPr>
            <w:r>
              <w:rPr>
                <w:rFonts w:ascii="MS Gothic" w:hAnsi="MS Gothic" w:eastAsia="MS Gothic"/>
              </w:rPr>
              <w:t>☐</w:t>
            </w:r>
          </w:p>
        </w:tc>
        <w:tc>
          <w:tcPr>
            <w:tcW w:w="6606" w:type="dxa"/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</w:pPr>
            <w:r>
              <w:t>Нет необходимости</w:t>
            </w:r>
          </w:p>
        </w:tc>
      </w:tr>
    </w:tbl>
    <w:p/>
    <w:p>
      <w:r>
        <w:t xml:space="preserve">Смежные системы: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Active</w:t>
      </w:r>
      <w:r>
        <w:t xml:space="preserve"> </w:t>
      </w:r>
      <w:r>
        <w:rPr>
          <w:lang w:val="en-US"/>
        </w:rPr>
        <w:t>Directory</w:t>
      </w:r>
      <w:r>
        <w:t>, САЗ (система антивирусной защиты).</w:t>
      </w:r>
    </w:p>
    <w:p>
      <w:pPr>
        <w:pStyle w:val="78"/>
      </w:pPr>
      <w:r>
        <w:t xml:space="preserve">В составе Системы отсутствует программное обеспечение, для которого в Компании разработан и утвержден профиль ИБ, Система к ЦОД не подключается. </w:t>
      </w:r>
    </w:p>
    <w:p>
      <w:pPr>
        <w:pStyle w:val="78"/>
      </w:pPr>
      <w:r>
        <w:t>В Системе предусматривается обработка только общедоступное ПДн работников. Доступ с мобильных устройств не предполагается. ПДн из Интернета не обрабатываются.</w:t>
      </w:r>
    </w:p>
    <w:p>
      <w:pPr>
        <w:pStyle w:val="78"/>
      </w:pPr>
      <w:r>
        <w:t>Угрозы информационной безопасности, связанные с наличием недекларированных возможностей в программном обеспечении признаны неактуальными.</w:t>
      </w:r>
    </w:p>
    <w:p>
      <w:pPr>
        <w:pStyle w:val="78"/>
      </w:pPr>
      <w:r>
        <w:t xml:space="preserve">Использование квалифицированной ЭП не планируется. </w:t>
      </w:r>
    </w:p>
    <w:p>
      <w:pPr>
        <w:pStyle w:val="78"/>
      </w:pPr>
      <w:r>
        <w:t>Класс защищённости системы – 1Г.</w:t>
      </w:r>
    </w:p>
    <w:p>
      <w:pPr>
        <w:pStyle w:val="80"/>
      </w:pPr>
      <w:r>
        <w:t>Перечень программных продуктов</w:t>
      </w:r>
    </w:p>
    <w:tbl>
      <w:tblPr>
        <w:tblStyle w:val="12"/>
        <w:tblW w:w="9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704"/>
        <w:gridCol w:w="5103"/>
      </w:tblGrid>
      <w:tr>
        <w:trPr>
          <w:tblHeader/>
        </w:trPr>
        <w:tc>
          <w:tcPr>
            <w:tcW w:w="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FFC000"/>
            <w:vAlign w:val="center"/>
          </w:tcPr>
          <w:p>
            <w:pPr>
              <w:pStyle w:val="82"/>
            </w:pPr>
            <w:r>
              <w:t>№</w:t>
            </w:r>
          </w:p>
        </w:tc>
        <w:tc>
          <w:tcPr>
            <w:tcW w:w="3704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FFC000"/>
            <w:vAlign w:val="center"/>
          </w:tcPr>
          <w:p>
            <w:pPr>
              <w:pStyle w:val="82"/>
            </w:pPr>
            <w:r>
              <w:t>тип ПО</w:t>
            </w:r>
          </w:p>
        </w:tc>
        <w:tc>
          <w:tcPr>
            <w:tcW w:w="5103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vAlign w:val="center"/>
          </w:tcPr>
          <w:p>
            <w:pPr>
              <w:pStyle w:val="82"/>
            </w:pPr>
            <w:r>
              <w:t>наименование ПО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53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6"/>
              </w:numPr>
              <w:ind w:right="45"/>
              <w:rPr>
                <w:rFonts w:cs="Arial"/>
              </w:rPr>
            </w:pPr>
          </w:p>
        </w:tc>
        <w:tc>
          <w:tcPr>
            <w:tcW w:w="3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Операционная система сервера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Операционная система «</w:t>
            </w:r>
            <w:r>
              <w:rPr>
                <w:rFonts w:cs="Arial"/>
                <w:lang w:val="en-US"/>
              </w:rPr>
              <w:t>Microsoft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Windows</w:t>
            </w:r>
            <w:r>
              <w:rPr>
                <w:rFonts w:cs="Arial"/>
              </w:rPr>
              <w:t xml:space="preserve"> 10 </w:t>
            </w:r>
            <w:r>
              <w:rPr>
                <w:rFonts w:cs="Arial"/>
                <w:lang w:val="en-US"/>
              </w:rPr>
              <w:t>Professional</w:t>
            </w:r>
            <w:r>
              <w:rPr>
                <w:rFonts w:cs="Arial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3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3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Специализированное ПО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ПО «</w:t>
            </w:r>
            <w:r>
              <w:rPr>
                <w:rFonts w:cs="Arial"/>
                <w:lang w:val="en-US"/>
              </w:rPr>
              <w:t>R</w:t>
            </w:r>
            <w:r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Vision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SGRC</w:t>
            </w:r>
            <w:r>
              <w:rPr>
                <w:rFonts w:cs="Arial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3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3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Специализированное ПО, сканер уязвимости 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XSpider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3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Система антивирусной защиты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Kaspersky Endpoint Security Total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6"/>
              </w:numPr>
              <w:rPr>
                <w:rFonts w:cs="Arial"/>
                <w:lang w:val="en-US"/>
              </w:rPr>
            </w:pPr>
          </w:p>
        </w:tc>
        <w:tc>
          <w:tcPr>
            <w:tcW w:w="3704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Специализированное ПО, п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рограмма фиксации и контроля исходного состояния программного комплекса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>
            <w:pPr>
              <w:pStyle w:val="86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ФИКС 2.0.2</w:t>
            </w:r>
          </w:p>
        </w:tc>
      </w:tr>
    </w:tbl>
    <w:p>
      <w:pPr>
        <w:pStyle w:val="78"/>
      </w:pPr>
    </w:p>
    <w:p>
      <w:pPr>
        <w:rPr>
          <w:caps/>
        </w:rPr>
      </w:pPr>
    </w:p>
    <w:p>
      <w:pPr>
        <w:rPr>
          <w:caps/>
        </w:rPr>
      </w:pPr>
      <w:bookmarkStart w:id="0" w:name="_Toc93683412"/>
      <w:bookmarkEnd w:id="0"/>
      <w:bookmarkStart w:id="1" w:name="_Toc61821361"/>
      <w:bookmarkEnd w:id="1"/>
      <w:bookmarkStart w:id="2" w:name="_Toc15993935"/>
      <w:bookmarkEnd w:id="2"/>
    </w:p>
    <w:p>
      <w:pPr>
        <w:pStyle w:val="3"/>
        <w:tabs>
          <w:tab w:val="clear" w:pos="0"/>
        </w:tabs>
        <w:suppressAutoHyphens w:val="0"/>
        <w:jc w:val="left"/>
      </w:pPr>
      <w:bookmarkStart w:id="3" w:name="_Toc61821362"/>
      <w:bookmarkStart w:id="4" w:name="_Toc27749123"/>
      <w:bookmarkStart w:id="5" w:name="_Toc93683413"/>
      <w:r>
        <w:t>РЕШЕНИЯ ПО РЕАЛИЗАЦИИ ОБЩИХ ТРЕБОВАНИЙ ИНФОРМАЦИОННОЙ БЕЗОПАСНОСТИ</w:t>
      </w:r>
      <w:bookmarkEnd w:id="3"/>
      <w:bookmarkEnd w:id="4"/>
      <w:bookmarkEnd w:id="5"/>
    </w:p>
    <w:p>
      <w:pPr>
        <w:pStyle w:val="78"/>
        <w:rPr>
          <w:rFonts w:hint="default"/>
        </w:rPr>
      </w:pPr>
      <w:r>
        <w:rPr>
          <w:rFonts w:hint="default"/>
        </w:rPr>
        <w:t xml:space="preserve">Максимальный уровень конфиденциальности информации, обрабатываемой в Системе, – </w:t>
      </w:r>
      <w:r>
        <w:rPr>
          <w:rFonts w:hint="default"/>
          <w:highlight w:val="yellow"/>
        </w:rPr>
        <w:t>конфиденциальная: {коммерческая тайна}</w:t>
      </w:r>
      <w:r>
        <w:rPr>
          <w:rFonts w:hint="default"/>
        </w:rPr>
        <w:t>.</w:t>
      </w:r>
    </w:p>
    <w:p>
      <w:pPr>
        <w:pStyle w:val="78"/>
        <w:rPr>
          <w:rFonts w:hint="default"/>
        </w:rPr>
      </w:pPr>
      <w:r>
        <w:rPr>
          <w:rFonts w:hint="default"/>
        </w:rPr>
        <w:t xml:space="preserve">Система удовлетворяет всем требованиям информационной безопасности регламентирующих документов Компании для возможности обработки информации максимального уровня конфиденциальности - </w:t>
      </w:r>
      <w:r>
        <w:rPr>
          <w:rFonts w:hint="default"/>
          <w:highlight w:val="yellow"/>
        </w:rPr>
        <w:t>конфиденциальная</w:t>
      </w:r>
      <w:r>
        <w:rPr>
          <w:rFonts w:hint="default"/>
        </w:rPr>
        <w:t>.</w:t>
      </w:r>
    </w:p>
    <w:p>
      <w:pPr>
        <w:pStyle w:val="78"/>
        <w:rPr>
          <w:rFonts w:hint="default"/>
        </w:rPr>
      </w:pPr>
      <w:r>
        <w:rPr>
          <w:rFonts w:hint="default"/>
        </w:rPr>
        <w:t xml:space="preserve">Система обеспечивает защиту от несанкционированного доступа (НСД) на уровне не ниже установленного требованиями, предъявляемыми к классу защищенности </w:t>
      </w:r>
      <w:r>
        <w:rPr>
          <w:rFonts w:hint="default"/>
          <w:highlight w:val="yellow"/>
        </w:rPr>
        <w:t>1Г</w:t>
      </w:r>
      <w:r>
        <w:rPr>
          <w:rFonts w:hint="default"/>
        </w:rPr>
        <w:t xml:space="preserve"> автоматизированных систем (АС)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</w:t>
      </w:r>
    </w:p>
    <w:p>
      <w:pPr>
        <w:pStyle w:val="78"/>
        <w:rPr>
          <w:rFonts w:hint="default"/>
        </w:rPr>
      </w:pPr>
      <w:r>
        <w:rPr>
          <w:rFonts w:hint="default"/>
        </w:rPr>
        <w:t>Средства вычислительной техники Системы, подключаемые к корпоративной сети Компании, размещаются в локальных вычислительных сетях, в которых выполнены требования Положения Компании «Требования к защите локальных вычислительных сетей Компании, подключаемых в единую корпоративную телекоммуникационную систему». В случае использования каналов связи, выходящих за пределы контролируемой зоны, применяются защищенные каналы связи, защищенные волоконно-оптические линии связи либо средства криптографической защиты информации.</w:t>
      </w:r>
    </w:p>
    <w:p>
      <w:pPr>
        <w:pStyle w:val="78"/>
        <w:rPr>
          <w:rFonts w:hint="default"/>
        </w:rPr>
      </w:pPr>
      <w:r>
        <w:rPr>
          <w:rFonts w:hint="default"/>
        </w:rPr>
        <w:t>Обеспечена своевременная установка обновлений информационной безопасности на прикладное и системное программное обеспечение компонент Системы.</w:t>
      </w:r>
    </w:p>
    <w:p>
      <w:pPr>
        <w:pStyle w:val="78"/>
        <w:rPr>
          <w:rFonts w:hint="default"/>
        </w:rPr>
      </w:pPr>
      <w:r>
        <w:rPr>
          <w:rFonts w:hint="default"/>
        </w:rPr>
        <w:t>На компонентах Системы установлены антивирусные средства, соответствующие требованиям Положения Компании «Требования к защите локальных вычислительных сетей Компании, подключаемых в единую корпоративную телекоммуникационную систему».</w:t>
      </w:r>
    </w:p>
    <w:p>
      <w:pPr>
        <w:pStyle w:val="78"/>
        <w:rPr>
          <w:rFonts w:hint="default"/>
        </w:rPr>
      </w:pPr>
      <w:r>
        <w:rPr>
          <w:rFonts w:hint="default"/>
        </w:rPr>
        <w:t>Аутентификация и авторизация пользователей Системы осуществляется с использованием службы корпоративного каталога на базе Microsoft Active Directory (случаи невозможности интеграции со службой корпоративного каталога должны быть согласованы с подразделениями ИТ и ИБ). Для доступа к Системе используется механизм единого входа – SSO (single sign-on), основанный на доменной аутентификации.</w:t>
      </w:r>
    </w:p>
    <w:p>
      <w:pPr>
        <w:pStyle w:val="78"/>
        <w:rPr>
          <w:rFonts w:hint="default"/>
        </w:rPr>
      </w:pPr>
      <w:r>
        <w:rPr>
          <w:rFonts w:hint="default"/>
        </w:rPr>
        <w:t>Доступ к Системе привилегированных пользователей осуществляется через Систему контроля действий привилегированных пользователей (СКДПП), при отсутствии возможности использования СКДПП – через терминальный сервер, развернутый либо в составе Системы, либо в составе смежной ИС.</w:t>
      </w:r>
    </w:p>
    <w:p>
      <w:pPr>
        <w:pStyle w:val="78"/>
        <w:rPr>
          <w:rFonts w:hint="default"/>
        </w:rPr>
      </w:pPr>
      <w:r>
        <w:rPr>
          <w:rFonts w:hint="default"/>
        </w:rPr>
        <w:t>В Системе реализована ролевая модель разграничения доступа. Различным группам пользователей назначаются различные права доступа в Системе, в рамках их должностных обязанностей, в соответствии с Регламентом предоставления доступа, а также с соблюдением принципов «минимально необходимых привилегий» (least privilege) и «минимально необходимых знаний» (need to know).</w:t>
      </w:r>
    </w:p>
    <w:p>
      <w:pPr>
        <w:pStyle w:val="78"/>
        <w:rPr>
          <w:rFonts w:hint="default"/>
        </w:rPr>
      </w:pPr>
      <w:r>
        <w:rPr>
          <w:rFonts w:hint="default"/>
        </w:rPr>
        <w:t>Реализованные в Системе ограничения на использование средств аутентификации (пароли, PIN-коды и т.п.), обеспечивают выполнение требований к длине, сложности, сроку действия, установленные Стандартом Компании «Политики информационной безопасности».</w:t>
      </w:r>
    </w:p>
    <w:p>
      <w:pPr>
        <w:pStyle w:val="78"/>
        <w:rPr>
          <w:rFonts w:hint="default"/>
        </w:rPr>
      </w:pPr>
      <w:r>
        <w:rPr>
          <w:rFonts w:hint="default"/>
        </w:rPr>
        <w:t>Срок хранения информации о событиях ИБ в журналах аудита Системы составляет: [</w:t>
      </w:r>
      <w:r>
        <w:rPr>
          <w:rFonts w:hint="default"/>
          <w:highlight w:val="yellow"/>
        </w:rPr>
        <w:t>90</w:t>
      </w:r>
      <w:r>
        <w:rPr>
          <w:rFonts w:hint="default"/>
        </w:rPr>
        <w:t>] дней. По истечении указанного срока журналы архивируются и хранятся на протяжении [</w:t>
      </w:r>
      <w:r>
        <w:rPr>
          <w:rFonts w:hint="default"/>
          <w:highlight w:val="yellow"/>
        </w:rPr>
        <w:t>365</w:t>
      </w:r>
      <w:r>
        <w:rPr>
          <w:rFonts w:hint="default"/>
        </w:rPr>
        <w:t>] дней.</w:t>
      </w:r>
    </w:p>
    <w:p>
      <w:pPr>
        <w:pStyle w:val="78"/>
        <w:rPr>
          <w:rFonts w:hint="default"/>
          <w:highlight w:val="yellow"/>
        </w:rPr>
      </w:pPr>
      <w:r>
        <w:rPr>
          <w:rFonts w:hint="default"/>
          <w:highlight w:val="yellow"/>
        </w:rPr>
        <w:t>Применение для программного обеспечения Системы утвержденных профилей ИБ в настоящее время не требуется, поскольку в составе Системы отсутствует профиль ИБ.</w:t>
      </w:r>
    </w:p>
    <w:p>
      <w:pPr>
        <w:pStyle w:val="78"/>
        <w:rPr>
          <w:rFonts w:hint="default"/>
          <w:highlight w:val="yellow"/>
        </w:rPr>
      </w:pPr>
      <w:r>
        <w:rPr>
          <w:rFonts w:hint="default"/>
          <w:highlight w:val="yellow"/>
        </w:rPr>
        <w:t>Компоненты Системы размещены в сегменте внутренней ДМЗ. Доступ к внутренним ДМЗ из сетей, не соответствующих требованиям Положения Компании, осуществляется с использованием защищенных протоколов с шифрованием (SSL, SFTP и т.п.), соответствующих требованиям к СКЗИ.</w:t>
      </w:r>
    </w:p>
    <w:p>
      <w:pPr>
        <w:pStyle w:val="78"/>
        <w:rPr>
          <w:rFonts w:hint="default"/>
          <w:highlight w:val="yellow"/>
        </w:rPr>
      </w:pPr>
      <w:r>
        <w:rPr>
          <w:rFonts w:hint="default"/>
          <w:highlight w:val="yellow"/>
        </w:rPr>
        <w:t>В Системе предусматривается обработка только персональных данных (ПДн) работников, включенных в общедоступные источники персональных данных Компании (в том числе справочники, адресные книги).</w:t>
      </w:r>
    </w:p>
    <w:p>
      <w:pPr>
        <w:pStyle w:val="78"/>
        <w:rPr>
          <w:rFonts w:hint="default"/>
          <w:highlight w:val="yellow"/>
        </w:rPr>
      </w:pPr>
      <w:r>
        <w:rPr>
          <w:rFonts w:hint="default"/>
          <w:highlight w:val="yellow"/>
        </w:rPr>
        <w:t>Согласно Положению Компании «Обеспечение информационной безопасности в информационных системах персональных данных», необходимый уровень защищенности персональных данных достигается применением мер, установленных для информационных систем, осуществляющих обработку информации для внутреннего пользования.</w:t>
      </w:r>
    </w:p>
    <w:p>
      <w:pPr>
        <w:pStyle w:val="78"/>
      </w:pPr>
      <w:r>
        <w:rPr>
          <w:rFonts w:hint="default"/>
        </w:rPr>
        <w:t xml:space="preserve">Сводная информация по реализации в Системе требований информационной безопасности для информационных систем (ИС) класса </w:t>
      </w:r>
      <w:r>
        <w:rPr>
          <w:rFonts w:hint="default"/>
          <w:highlight w:val="yellow"/>
        </w:rPr>
        <w:t>1Г</w:t>
      </w:r>
      <w:r>
        <w:rPr>
          <w:rFonts w:hint="default"/>
        </w:rPr>
        <w:t xml:space="preserve"> представлена в таблице ниже.</w:t>
      </w:r>
      <w:r>
        <w:t xml:space="preserve"> </w:t>
      </w:r>
    </w:p>
    <w:p>
      <w:pPr>
        <w:pStyle w:val="1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20</w:t>
      </w:r>
      <w:r>
        <w:fldChar w:fldCharType="end"/>
      </w:r>
    </w:p>
    <w:p>
      <w:pPr>
        <w:pStyle w:val="80"/>
      </w:pPr>
      <w:r>
        <w:t>Реализация требований к защите информации Системы от НСД (требования для АС класса 1</w:t>
      </w:r>
      <w:r>
        <w:rPr>
          <w:lang w:val="ru-RU"/>
        </w:rPr>
        <w:t>Г</w:t>
      </w:r>
      <w:r>
        <w:t>)</w:t>
      </w:r>
    </w:p>
    <w:tbl>
      <w:tblPr>
        <w:tblStyle w:val="12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5"/>
        <w:gridCol w:w="3467"/>
        <w:gridCol w:w="21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blHeader/>
        </w:trPr>
        <w:tc>
          <w:tcPr>
            <w:tcW w:w="2056" w:type="pct"/>
            <w:vMerge w:val="restart"/>
            <w:tcBorders>
              <w:top w:val="single" w:color="auto" w:sz="12" w:space="0"/>
              <w:bottom w:val="single" w:color="auto" w:sz="8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</w:pPr>
            <w:r>
              <w:t>Требования к классу защищенности</w:t>
            </w:r>
          </w:p>
        </w:tc>
        <w:tc>
          <w:tcPr>
            <w:tcW w:w="2944" w:type="pct"/>
            <w:gridSpan w:val="2"/>
            <w:tcBorders>
              <w:top w:val="single" w:color="auto" w:sz="12" w:space="0"/>
              <w:bottom w:val="single" w:color="auto" w:sz="8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</w:pPr>
            <w:r>
              <w:rPr>
                <w:bCs/>
              </w:rPr>
              <w:t>Реализация требований ИБ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56" w:type="pct"/>
            <w:vMerge w:val="continue"/>
            <w:tcBorders>
              <w:top w:val="single" w:color="auto" w:sz="8" w:space="0"/>
              <w:bottom w:val="single" w:color="auto" w:sz="8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</w:pPr>
          </w:p>
        </w:tc>
        <w:tc>
          <w:tcPr>
            <w:tcW w:w="1811" w:type="pct"/>
            <w:tcBorders>
              <w:top w:val="single" w:color="auto" w:sz="8" w:space="0"/>
              <w:bottom w:val="single" w:color="auto" w:sz="8" w:space="0"/>
            </w:tcBorders>
            <w:shd w:val="clear" w:color="auto" w:fill="FED208"/>
          </w:tcPr>
          <w:p>
            <w:pPr>
              <w:pStyle w:val="82"/>
              <w:keepNext w:val="0"/>
              <w:spacing w:before="0" w:after="0"/>
              <w:rPr>
                <w:bCs/>
              </w:rPr>
            </w:pPr>
            <w:r>
              <w:rPr>
                <w:bCs/>
              </w:rPr>
              <w:t>штатными средствами защиты информации прикладного и общесистемного ПО системы</w:t>
            </w:r>
          </w:p>
        </w:tc>
        <w:tc>
          <w:tcPr>
            <w:tcW w:w="1133" w:type="pct"/>
            <w:tcBorders>
              <w:top w:val="single" w:color="auto" w:sz="8" w:space="0"/>
              <w:bottom w:val="single" w:color="auto" w:sz="8" w:space="0"/>
            </w:tcBorders>
            <w:shd w:val="clear" w:color="auto" w:fill="FED208"/>
          </w:tcPr>
          <w:p>
            <w:pPr>
              <w:pStyle w:val="82"/>
              <w:keepNext w:val="0"/>
              <w:spacing w:before="0" w:after="0"/>
              <w:rPr>
                <w:bCs/>
              </w:rPr>
            </w:pPr>
            <w:r>
              <w:rPr>
                <w:bCs/>
              </w:rPr>
              <w:t xml:space="preserve">другими средствами защиты информации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56" w:type="pct"/>
            <w:tcBorders>
              <w:top w:val="single" w:color="auto" w:sz="8" w:space="0"/>
              <w:bottom w:val="single" w:color="auto" w:sz="12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1" w:type="pct"/>
            <w:tcBorders>
              <w:top w:val="single" w:color="auto" w:sz="8" w:space="0"/>
              <w:bottom w:val="single" w:color="auto" w:sz="12" w:space="0"/>
            </w:tcBorders>
            <w:shd w:val="clear" w:color="auto" w:fill="FED208"/>
          </w:tcPr>
          <w:p>
            <w:pPr>
              <w:pStyle w:val="82"/>
              <w:keepNext w:val="0"/>
              <w:spacing w:before="0"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133" w:type="pct"/>
            <w:tcBorders>
              <w:top w:val="single" w:color="auto" w:sz="8" w:space="0"/>
              <w:bottom w:val="single" w:color="auto" w:sz="12" w:space="0"/>
            </w:tcBorders>
            <w:shd w:val="clear" w:color="auto" w:fill="FED208"/>
          </w:tcPr>
          <w:p>
            <w:pPr>
              <w:pStyle w:val="82"/>
              <w:keepNext w:val="0"/>
              <w:spacing w:before="0"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12" w:space="0"/>
            </w:tcBorders>
          </w:tcPr>
          <w:p>
            <w:pPr>
              <w:pStyle w:val="82"/>
              <w:keepNext w:val="0"/>
            </w:pPr>
            <w:r>
              <w:t>Подсистема управления доступом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 xml:space="preserve">Должна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 </w:t>
            </w:r>
          </w:p>
        </w:tc>
        <w:tc>
          <w:tcPr>
            <w:tcW w:w="1811" w:type="pct"/>
          </w:tcPr>
          <w:p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hint="default"/>
                <w:b/>
                <w:bCs/>
                <w:iCs/>
                <w:sz w:val="20"/>
                <w:szCs w:val="20"/>
              </w:rPr>
            </w:pPr>
            <w:r>
              <w:rPr>
                <w:rFonts w:hint="default"/>
                <w:b/>
                <w:bCs/>
                <w:iCs/>
                <w:sz w:val="20"/>
                <w:szCs w:val="20"/>
              </w:rPr>
              <w:t xml:space="preserve">На уровне ОС Microsoft Windows 10 Professional: 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cs="Arial"/>
                <w:iCs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iCs/>
                <w:sz w:val="20"/>
                <w:szCs w:val="20"/>
              </w:rPr>
              <w:t>Идентификация и аутентификация привилегированных пользователей при подключении по RDP осуществляется штатными средствами ОС по доменным персонифицированным учетным записям (УЗ).</w:t>
            </w:r>
          </w:p>
        </w:tc>
        <w:tc>
          <w:tcPr>
            <w:tcW w:w="1133" w:type="pct"/>
          </w:tcPr>
          <w:p>
            <w:pPr>
              <w:pStyle w:val="81"/>
              <w:rPr>
                <w:rFonts w:cs="Arial"/>
                <w:i/>
                <w:color w:val="767171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Доступ пользователей осуществляется с использованием системы контроля доступа (СКД) и антивирусной защиты Kaspersky Endpoint Security Total Security. Также применяются двухфакторная аутентификация (2FA) и система управления учетными записями (IAM) для усиления безопасности доступа.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pStyle w:val="82"/>
              <w:keepNext w:val="0"/>
            </w:pPr>
            <w:r>
              <w:t>Подсистема регистрации и учета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 xml:space="preserve"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</w:t>
            </w:r>
            <w:r>
              <w:br w:type="textWrapping"/>
            </w:r>
            <w:r>
              <w:t>В параметрах регистрации указываются:</w:t>
            </w:r>
          </w:p>
          <w:p>
            <w:pPr>
              <w:pStyle w:val="83"/>
              <w:numPr>
                <w:ilvl w:val="0"/>
                <w:numId w:val="7"/>
              </w:numPr>
              <w:tabs>
                <w:tab w:val="left" w:pos="1690"/>
              </w:tabs>
              <w:suppressAutoHyphens w:val="0"/>
              <w:spacing w:after="0"/>
            </w:pPr>
            <w:r>
              <w:t>Дата и время входа (выхода) субъекта доступа в систему (из системы) или загрузки (останова) системы.</w:t>
            </w:r>
          </w:p>
          <w:p>
            <w:pPr>
              <w:pStyle w:val="83"/>
              <w:numPr>
                <w:ilvl w:val="0"/>
                <w:numId w:val="7"/>
              </w:numPr>
              <w:tabs>
                <w:tab w:val="left" w:pos="1690"/>
              </w:tabs>
              <w:suppressAutoHyphens w:val="0"/>
              <w:spacing w:after="0"/>
            </w:pPr>
            <w:r>
              <w:t>Результат попытки входа: успешная или неуспешная – несанкционированная.</w:t>
            </w:r>
          </w:p>
          <w:p>
            <w:pPr>
              <w:pStyle w:val="83"/>
              <w:numPr>
                <w:ilvl w:val="0"/>
                <w:numId w:val="7"/>
              </w:numPr>
              <w:tabs>
                <w:tab w:val="left" w:pos="1690"/>
              </w:tabs>
              <w:suppressAutoHyphens w:val="0"/>
              <w:spacing w:after="0"/>
            </w:pPr>
            <w:r>
              <w:t xml:space="preserve">Идентификатор (код или фамилия) субъекта, предъявленный при попытке доступа. </w:t>
            </w:r>
          </w:p>
        </w:tc>
        <w:tc>
          <w:tcPr>
            <w:tcW w:w="1811" w:type="pct"/>
          </w:tcPr>
          <w:p>
            <w:pPr>
              <w:pStyle w:val="84"/>
              <w:widowControl w:val="0"/>
              <w:ind w:left="0"/>
              <w:rPr>
                <w:rFonts w:cs="Arial"/>
                <w:i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 w:val="20"/>
                <w:szCs w:val="20"/>
              </w:rPr>
              <w:t>Осуществляется средствами журналирования ОС Windows и антивирусного ПО Kaspersky Endpoint Security Total Security. Применяются механизмы регистрации событий безопасности, доступные в Kaspersky Security Center. Данные регистрируются и хранятся в центральном журнале событий.</w:t>
            </w:r>
          </w:p>
        </w:tc>
        <w:tc>
          <w:tcPr>
            <w:tcW w:w="1133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color w:val="auto"/>
                <w:sz w:val="20"/>
                <w:szCs w:val="20"/>
              </w:rPr>
              <w:t>Для обеспечения дополнительного уровня безопасности применяется централизованная система управления логами, такая как Splunk или ELK Stack, для сбора и анализа данных событий безопасности. Также используются системы обнаружения вторжений (IDS) для мониторинга и анализа подозрительной активности.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>Должен осуществляться учет всех защищаемых носителей информации с помощью их маркировки и с занесением учетных данных журнал (учетную карточку).</w:t>
            </w:r>
          </w:p>
        </w:tc>
        <w:tc>
          <w:tcPr>
            <w:tcW w:w="1811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Учет носителей информации осуществляется средствами Microsoft System Center Configuration Manager (SCCM), который позволяет отслеживать и управлять устройствами и носителями в корпоративной сети. Все носители маркируются и их данные заносятся в централизованный реестр.</w:t>
            </w:r>
          </w:p>
        </w:tc>
        <w:tc>
          <w:tcPr>
            <w:tcW w:w="1133" w:type="pct"/>
          </w:tcPr>
          <w:p>
            <w:pPr>
              <w:pStyle w:val="81"/>
              <w:rPr>
                <w:sz w:val="28"/>
                <w:szCs w:val="28"/>
              </w:rPr>
            </w:pPr>
            <w:r>
              <w:rPr>
                <w:rFonts w:hint="default"/>
                <w:sz w:val="20"/>
                <w:szCs w:val="20"/>
              </w:rPr>
              <w:t>Дополнительно применяются системы для управления и отслеживания носителей информации, такие как Varonis Data Security Platform, которые позволяют проводить аудит и контроль использования носителей. Используются процедуры периодической инвентаризации и проверки состояния носителей информации.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pStyle w:val="82"/>
              <w:keepNext w:val="0"/>
            </w:pPr>
            <w:r>
              <w:t>Подсистема обеспечения целостности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>Должен осуществляться контроль целостности программных средств СЗИ НСД, а также неизменность программной среды.</w:t>
            </w:r>
          </w:p>
          <w:p>
            <w:pPr>
              <w:pStyle w:val="81"/>
            </w:pPr>
            <w:r>
              <w:t>При этом, целостность СЗИ НСД проверяется при загрузке системы по контрольным суммам компонент СЗИ;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(или) хранения защищаемой информации.</w:t>
            </w:r>
          </w:p>
        </w:tc>
        <w:tc>
          <w:tcPr>
            <w:tcW w:w="1811" w:type="pct"/>
          </w:tcPr>
          <w:p>
            <w:pPr>
              <w:pStyle w:val="81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Контроль целостности программных средств СЗИ НСД и неизменность программной среды осуществляется средствами Kaspersky Endpoint Security Total Security, обеспечивающими вычисление и проверку контрольных сумм файлов на основе эталонных значений. Дополнительно используются встроенные функции ОС Microsoft Windows 10 Professional для проверки целостности системных файлов.</w:t>
            </w:r>
          </w:p>
        </w:tc>
        <w:tc>
          <w:tcPr>
            <w:tcW w:w="1133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Реализованы механизмы контроля целостности с использованием специализированного ПО, такого как Tripwire или аналогичных средств мониторинга целостности. Также применяются регулярные аудиты и тестирование целостности данных с использованием инструментов резервного копирования и восстановления.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>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время.</w:t>
            </w:r>
          </w:p>
        </w:tc>
        <w:tc>
          <w:tcPr>
            <w:tcW w:w="1811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Физическая охрана осуществляется с использованием систем контроля доступа (СКД) и видеонаблюдения, интегрированных в корпоративную сеть безопасности. Помещения, где размещены СВТ, оборудованы электронными замками и датчиками движения.</w:t>
            </w:r>
          </w:p>
        </w:tc>
        <w:tc>
          <w:tcPr>
            <w:tcW w:w="1133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color w:val="auto"/>
                <w:sz w:val="20"/>
                <w:szCs w:val="20"/>
              </w:rPr>
              <w:t>Дополнительно применяются меры физической безопасности, такие как охранные службы, регулярные патрули, а также сейфы и шкафы с усиленной защитой для хранения носителей информации.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>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НСД.</w:t>
            </w:r>
          </w:p>
        </w:tc>
        <w:tc>
          <w:tcPr>
            <w:tcW w:w="1811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Тестирование функций СЗИ НСД проводится с использованием встроенных средств безопасности ОС Windows и антивирусного ПО Kaspersky Endpoint Security Total Security. Регулярно выполняются сканирования на уязвимости и тестирование с использованием встроенных инструментов безопасности.</w:t>
            </w:r>
          </w:p>
        </w:tc>
        <w:tc>
          <w:tcPr>
            <w:tcW w:w="1133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Для тестирования используются специализированные инструменты для проведения пентестов, такие как Metasploit, а также сторонние службы аудита и тестирования на проникновение. Применяются регулярные проверки и обновления политик безопасности.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pct"/>
          </w:tcPr>
          <w:p>
            <w:pPr>
              <w:pStyle w:val="81"/>
            </w:pPr>
            <w:r>
              <w:t>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работоспособности.</w:t>
            </w:r>
          </w:p>
        </w:tc>
        <w:tc>
          <w:tcPr>
            <w:tcW w:w="1811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Средства восстановления реализованы с использованием встроенных инструментов резервного копирования Windows Server и специализированного ПО для резервного копирования и восстановления данных, таких как Acronis Backup. Регулярно выполняется создание резервных копий и проверка их целостности.</w:t>
            </w:r>
          </w:p>
        </w:tc>
        <w:tc>
          <w:tcPr>
            <w:tcW w:w="1133" w:type="pct"/>
          </w:tcPr>
          <w:p>
            <w:pPr>
              <w:pStyle w:val="81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используются внешние системы резервного копирования и восстановления, такие как облачные решения для резервного копирования (например, AWS Backup), и периодическое тестирование восстановления данных для проверки работоспособности резервных копий.</w:t>
            </w:r>
          </w:p>
        </w:tc>
      </w:tr>
    </w:tbl>
    <w:p>
      <w:pPr>
        <w:pStyle w:val="1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21</w:t>
      </w:r>
      <w:r>
        <w:fldChar w:fldCharType="end"/>
      </w:r>
    </w:p>
    <w:p>
      <w:pPr>
        <w:pStyle w:val="80"/>
      </w:pPr>
      <w:r>
        <w:t>Реализация требований к защите информации Системы от НСД (требования для АС класса 1Г)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7"/>
        <w:gridCol w:w="3239"/>
        <w:gridCol w:w="2885"/>
      </w:tblGrid>
      <w:tr>
        <w:trPr>
          <w:cantSplit/>
          <w:tblHeader/>
        </w:trPr>
        <w:tc>
          <w:tcPr>
            <w:tcW w:w="1801" w:type="pct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2"/>
              <w:keepNext w:val="0"/>
              <w:spacing w:before="0" w:after="0"/>
            </w:pPr>
            <w:r>
              <w:t>Требования к классу защищенности</w:t>
            </w:r>
          </w:p>
        </w:tc>
        <w:tc>
          <w:tcPr>
            <w:tcW w:w="3199" w:type="pct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</w:pPr>
            <w:r>
              <w:rPr>
                <w:bCs/>
              </w:rPr>
              <w:t>Реализация требований ИБ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01" w:type="pct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</w:pP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</w:pPr>
            <w:r>
              <w:rPr>
                <w:bCs/>
              </w:rPr>
              <w:t>штатными средствами защиты информации прикладного и общесистемного ПО системы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</w:pPr>
            <w:r>
              <w:rPr>
                <w:bCs/>
              </w:rPr>
              <w:t>другими средствами защиты информации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ED208"/>
            <w:vAlign w:val="center"/>
          </w:tcPr>
          <w:p>
            <w:pPr>
              <w:pStyle w:val="82"/>
              <w:keepNext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ED20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</w:pPr>
            <w:r>
              <w:t>Подсистема управления доступом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0" w:hRule="atLeast"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hint="default"/>
                <w:b/>
                <w:bCs/>
                <w:iCs/>
                <w:sz w:val="20"/>
                <w:szCs w:val="20"/>
              </w:rPr>
            </w:pPr>
            <w:r>
              <w:rPr>
                <w:rFonts w:hint="default"/>
                <w:b/>
                <w:bCs/>
                <w:iCs/>
                <w:sz w:val="20"/>
                <w:szCs w:val="20"/>
              </w:rPr>
              <w:t>На уровне ОС Microsoft Windows 10 Professional: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cs="Arial"/>
                <w:iCs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iCs/>
                <w:sz w:val="20"/>
                <w:szCs w:val="20"/>
              </w:rPr>
              <w:t>Идентификация и аутентификация привилегированных пользователей при подключении по RDP осуществляется штатными средствами ОС по доменным персонифицированным учетным записям (УЗ).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rPr>
                <w:rFonts w:cs="Arial"/>
                <w:i/>
                <w:color w:val="767171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Доступ пользователей осуществляется с использованием системы контроля доступа (СКД) и антивирусной защиты Kaspersky Endpoint Security Total Security. Также применяются двухфакторная аутентификация (2FA) и система управления учетными записями (IAM) для усиления безопасности доступа.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5" w:hRule="atLeast"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идентификация терминалов, ЭВМ, узлов сети ЭВМ</w:t>
            </w:r>
          </w:p>
          <w:p>
            <w:pPr>
              <w:pStyle w:val="81"/>
              <w:spacing w:before="0" w:after="0"/>
            </w:pP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 w:val="20"/>
                <w:szCs w:val="20"/>
              </w:rPr>
              <w:t>Реализуется средствами ОС Microsoft Windows 10 Professional: Идентификация терминалов осуществляется по номеру терминала, идентификация ЭВМ - по MAC-адресу.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 w:val="0"/>
                <w:color w:val="auto"/>
                <w:highlight w:val="none"/>
              </w:rPr>
              <w:t>Дополнительно используется управление сетью с применением коммутаторов и маршрутизаторов, поддерживающих идентификацию по IP и MAC-адресам.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идентификация программ, томов, каталогов, файлов, записей, полей записей по именам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4"/>
              <w:widowControl w:val="0"/>
              <w:ind w:left="0"/>
              <w:jc w:val="both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 w:val="20"/>
                <w:szCs w:val="20"/>
              </w:rPr>
              <w:t>Реализуется средствами файловой системы и встроенной системой безопасности ОС Windows: идентификация всех объектов осуществляется по именам файлов и каталогов.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color w:val="auto"/>
                <w:highlight w:val="none"/>
              </w:rPr>
              <w:t>Для дополнительной защиты используется программное обеспечение, такое как Tripwire, для мониторинга целостности файловой системы и идентификации изменений.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Должен осуществляться контроль доступа субъектов к защищаемым ресурсам в соответствии с матрицей доступа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4"/>
              <w:widowControl w:val="0"/>
              <w:ind w:left="0"/>
              <w:jc w:val="both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 w:val="20"/>
                <w:szCs w:val="20"/>
              </w:rPr>
              <w:t>Контроль доступа осуществляется средствами Windows Server и R-Vision SGRC. Принятие решения о запрете или разрешении доступа субъекта к объекту производится на основе матрицы доступа и установленных политик безопасности.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используется многоуровневый контроль доступа с применением ролевых моделей (RBAC) и принципов минимально необходимых привилегий (least privilege).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</w:pPr>
            <w:r>
              <w:t>Подсистема регистрации и учета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В параметрах регистрации указываются:</w:t>
            </w:r>
          </w:p>
          <w:p>
            <w:pPr>
              <w:pStyle w:val="83"/>
              <w:numPr>
                <w:ilvl w:val="0"/>
                <w:numId w:val="8"/>
              </w:numPr>
              <w:tabs>
                <w:tab w:val="left" w:pos="1690"/>
              </w:tabs>
              <w:suppressAutoHyphens w:val="0"/>
              <w:spacing w:before="0" w:after="0"/>
            </w:pPr>
            <w:r>
              <w:t>Дата и время входа (выхода) субъекта доступа в систему (из системы) или загрузки (останова) системы.</w:t>
            </w:r>
          </w:p>
          <w:p>
            <w:pPr>
              <w:pStyle w:val="83"/>
              <w:numPr>
                <w:ilvl w:val="0"/>
                <w:numId w:val="7"/>
              </w:numPr>
              <w:tabs>
                <w:tab w:val="left" w:pos="1690"/>
              </w:tabs>
              <w:suppressAutoHyphens w:val="0"/>
              <w:spacing w:before="0" w:after="0"/>
            </w:pPr>
            <w:r>
              <w:t>Результат попытки входа: успешная или неуспешная – несанкционированная.</w:t>
            </w:r>
          </w:p>
          <w:p>
            <w:pPr>
              <w:pStyle w:val="83"/>
              <w:numPr>
                <w:ilvl w:val="0"/>
                <w:numId w:val="7"/>
              </w:numPr>
              <w:tabs>
                <w:tab w:val="left" w:pos="1690"/>
              </w:tabs>
              <w:suppressAutoHyphens w:val="0"/>
              <w:spacing w:before="0" w:after="0"/>
            </w:pPr>
            <w:r>
              <w:t>Идентификатор (код или фамилия) субъекта, предъявленный при попытке доступа.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3"/>
              <w:numPr>
                <w:ilvl w:val="0"/>
                <w:numId w:val="0"/>
              </w:numPr>
              <w:spacing w:before="0" w:after="0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Осуществляется средствами журналирования ОС Windows и антивирусного ПО Kaspersky Endpoint Security Total Security. Применяются механизмы регистрации событий безопасности, доступные в Kaspersky Security Center. Данные регистрируются и хранятся в центральном журнале событий.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3"/>
              <w:numPr>
                <w:ilvl w:val="0"/>
                <w:numId w:val="0"/>
              </w:numPr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Для обеспечения дополнительного уровня безопасности применяется централизованная система управления логами, такая как Splunk или ELK Stack, для сбора и анализа данных событий безопасности. Также используются системы обнаружения вторжений (IDS) для мониторинга и анализа подозрительной активности.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регистрация выдачи печатных (графических) документов на «твердую» копию. В параметрах регистрации указываются:</w:t>
            </w:r>
          </w:p>
          <w:p>
            <w:pPr>
              <w:pStyle w:val="83"/>
              <w:numPr>
                <w:ilvl w:val="0"/>
                <w:numId w:val="9"/>
              </w:numPr>
              <w:tabs>
                <w:tab w:val="left" w:pos="284"/>
              </w:tabs>
              <w:suppressAutoHyphens w:val="0"/>
              <w:spacing w:before="0" w:after="0"/>
              <w:ind w:left="0" w:firstLine="0"/>
            </w:pPr>
            <w:r>
              <w:t>Дата и время выдачи (обращения к подсистеме вывода).</w:t>
            </w:r>
          </w:p>
          <w:p>
            <w:pPr>
              <w:pStyle w:val="83"/>
              <w:numPr>
                <w:ilvl w:val="0"/>
                <w:numId w:val="9"/>
              </w:numPr>
              <w:tabs>
                <w:tab w:val="left" w:pos="284"/>
              </w:tabs>
              <w:suppressAutoHyphens w:val="0"/>
              <w:spacing w:before="0" w:after="0"/>
              <w:ind w:left="0" w:firstLine="0"/>
            </w:pPr>
            <w:r>
              <w:t>Спецификация устройства выдачи [логическое имя (номер) внешнего устройства].</w:t>
            </w:r>
          </w:p>
          <w:p>
            <w:pPr>
              <w:pStyle w:val="83"/>
              <w:numPr>
                <w:ilvl w:val="0"/>
                <w:numId w:val="9"/>
              </w:numPr>
              <w:tabs>
                <w:tab w:val="left" w:pos="284"/>
              </w:tabs>
              <w:suppressAutoHyphens w:val="0"/>
              <w:spacing w:before="0" w:after="0"/>
              <w:ind w:left="0" w:firstLine="0"/>
            </w:pPr>
            <w:r>
              <w:t>Краткое содержание (наименование, вид, шифр, код) и уровень конфиденциальности документа.</w:t>
            </w:r>
          </w:p>
          <w:p>
            <w:pPr>
              <w:pStyle w:val="83"/>
              <w:numPr>
                <w:ilvl w:val="0"/>
                <w:numId w:val="9"/>
              </w:numPr>
              <w:tabs>
                <w:tab w:val="left" w:pos="284"/>
              </w:tabs>
              <w:suppressAutoHyphens w:val="0"/>
              <w:spacing w:before="0" w:after="0"/>
              <w:ind w:left="0" w:firstLine="0"/>
            </w:pPr>
            <w:r>
              <w:t>Идентификатор субъекта доступа, запросившего документ.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jc w:val="both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Реализация регистрации выдачи печатных документов осуществляется средствами ОС Windows и ПО Kaspersky Endpoint Security Total Security. Средства журналирования фиксируют все действия по печати документов, указывая параметры регистрации.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используются средства управления печатью и контроля доступа к принтерам, такие как PaperCut, которые регистрируют все запросы на печать и обеспечивают детальный аудит печатной активности.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регистрация запуска (завершения) программ и процессов (заданий, задач), предназначенных для обработки защищаемых файлов. В параметрах регистрации указываются:</w:t>
            </w:r>
          </w:p>
          <w:p>
            <w:pPr>
              <w:pStyle w:val="83"/>
              <w:numPr>
                <w:ilvl w:val="0"/>
                <w:numId w:val="10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 xml:space="preserve">Дата и время запуска; </w:t>
            </w:r>
          </w:p>
          <w:p>
            <w:pPr>
              <w:pStyle w:val="83"/>
              <w:numPr>
                <w:ilvl w:val="0"/>
                <w:numId w:val="10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 xml:space="preserve">Имя (идентификатор) программы (процесса, задания); </w:t>
            </w:r>
          </w:p>
          <w:p>
            <w:pPr>
              <w:pStyle w:val="83"/>
              <w:numPr>
                <w:ilvl w:val="0"/>
                <w:numId w:val="10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 xml:space="preserve">Идентификатор субъекта доступа, запросившего программу (процесс, задание); </w:t>
            </w:r>
          </w:p>
          <w:p>
            <w:pPr>
              <w:pStyle w:val="83"/>
              <w:numPr>
                <w:ilvl w:val="0"/>
                <w:numId w:val="10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>Результат запуска (успешный, неуспешный - несанкционированный).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3"/>
              <w:numPr>
                <w:ilvl w:val="0"/>
                <w:numId w:val="0"/>
              </w:numPr>
              <w:spacing w:before="0" w:after="0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Осуществляется средствами журналирования ОС Windows и антивирусного ПО Kaspersky Endpoint Security Total Security. Применяются механизмы регистрации событий безопасности, доступные в Kaspersky Security Center. Данные регистрируются и хранятся в центральном журнале событий.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Для дополнительного уровня безопасности применяется централизованная система управления логами, такая как Splunk или ELK Stack, для сбора и анализа данных событий безопасности. Также используются системы обнаружения вторжений (IDS) для мониторинга и анализа подозрительной активности.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регистрация попыток доступа программных средств к следующим дополнительным защищаемым объектам доступа: терминалам, ЭВМ, узлам сети ЭВМ, линиям (каналам) связи, внешним устройствам ЭВМ, программам, томам, каталогам, файлам, записям, полям записей. В параметрах регистрации указываются:</w:t>
            </w:r>
          </w:p>
          <w:p>
            <w:pPr>
              <w:pStyle w:val="83"/>
              <w:numPr>
                <w:ilvl w:val="0"/>
                <w:numId w:val="11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>Дата и время попытки доступа к защищаемому объекту с указанием ее результата: успешная, неуспешная – несанкционированная.</w:t>
            </w:r>
          </w:p>
          <w:p>
            <w:pPr>
              <w:pStyle w:val="83"/>
              <w:numPr>
                <w:ilvl w:val="0"/>
                <w:numId w:val="11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>Идентификатор субъекта доступа.</w:t>
            </w:r>
          </w:p>
          <w:p>
            <w:pPr>
              <w:pStyle w:val="83"/>
              <w:numPr>
                <w:ilvl w:val="0"/>
                <w:numId w:val="11"/>
              </w:numPr>
              <w:tabs>
                <w:tab w:val="left" w:pos="426"/>
              </w:tabs>
              <w:suppressAutoHyphens w:val="0"/>
              <w:spacing w:before="0" w:after="0"/>
              <w:ind w:left="142" w:firstLine="0"/>
            </w:pPr>
            <w:r>
              <w:t xml:space="preserve">Спецификация защищаемого объекта [логическое имя (номер)]. </w:t>
            </w:r>
          </w:p>
          <w:p>
            <w:pPr>
              <w:pStyle w:val="81"/>
              <w:spacing w:before="0" w:after="0"/>
            </w:pP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3"/>
              <w:numPr>
                <w:ilvl w:val="0"/>
                <w:numId w:val="0"/>
              </w:numPr>
              <w:spacing w:before="0" w:after="0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Реализуется средствами ОС Windows и антивирусного ПО Kaspersky Endpoint Security Total Security. Журналирование всех попыток доступа осуществляется средствами ОС Windows и антивирусного ПО. Данные регистрируются и хранятся в центральном журнале событий.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Для обеспечения дополнительного уровня безопасности применяется централизованная система управления логами, такая как Splunk или ELK Stack, для сбора и анализа данных событий безопасности. Также используются системы обнаружения вторжений (IDS) для мониторинга и анализа подозрительной активности.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Должен осуществляться учет всех защищаемых носителей информации с помощью их маркировки и с занесением учетных данных журнал (учетную карточку).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3"/>
              <w:numPr>
                <w:ilvl w:val="0"/>
                <w:numId w:val="0"/>
              </w:numPr>
              <w:spacing w:before="0" w:after="0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Учет носителей информации осуществляется средствами Microsoft System Center Configuration Manager (SCCM), который позволяет отслеживать и управлять устройствами и носителями в корпоративной сети. Все носители маркируются и их данные заносятся в централизованный реестр.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применяются системы для управления и отслеживания носителей информации, такие как Varonis Data Security Platform, которые позволяют проводить аудит и контроль использования носителей. Используются процедуры периодической инвентаризации и проверки состояния носителей информации.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очистка (обнуление, обезличивание) освобождаемых областей оперативной памяти ЭВМ и внешних накопителей. Очистка осуществляется однократной произвольной записью в освобождаемую область памяти, ранее использованную для хранения защищаемых данных (файлов).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Реализуется средствами ОС Microsoft Windows 10 Professional, используя встроенные функции очистки оперативной памяти и внешних накопителей. Например, команды sdelete из пакета Sysinternals обеспечивают надежное удаление данных путем перезаписи.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применяются специализированные программы для безопасного удаления данных, такие как Eraser или BCWipe, которые обеспечивают многократную перезапись данных на освобождаемых участках памяти и накопителей, соответствуя требованиям стандартов безопасности.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2"/>
              <w:keepNext w:val="0"/>
              <w:spacing w:before="0" w:after="0"/>
              <w:rPr>
                <w:highlight w:val="yellow"/>
              </w:rPr>
            </w:pPr>
            <w:r>
              <w:t>Подсистема обеспечения целостности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0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 xml:space="preserve">Должен быть обеспечен контроль целостности программных средств СЗИ НСД, а также неизменность программной среды. </w:t>
            </w:r>
          </w:p>
          <w:p>
            <w:pPr>
              <w:pStyle w:val="81"/>
              <w:spacing w:before="0" w:after="0"/>
              <w:rPr>
                <w:highlight w:val="yellow"/>
              </w:rPr>
            </w:pPr>
            <w:r>
              <w:t>При этом целостность СЗИ НСД проверяется при загрузке системы по контрольным суммам компонент СЗИ;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(или) хранения защищаемой информации.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rFonts w:cs="Arial"/>
                <w:i/>
                <w:color w:val="7F7F7F" w:themeColor="background1" w:themeShade="80"/>
                <w:szCs w:val="20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Контроль целостности программных средств СЗИ НСД и неизменность программной среды осуществляется средствами Kaspersky Endpoint Security Total Security, обеспечивающими вычисление и проверку контрольных сумм файлов на основе эталонных значений. Дополнительно используются встроенные функции ОС Microsoft Windows 10 Professional для проверки целостности системных файлов.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Реализованы механизмы контроля целостности с использованием специализированного ПО, такого как Tripwire или аналогичных средств мониторинга целостности. Также применяются регулярные аудиты и тестирование целостности данных с использованием инструментов резервного копирования и восстановления.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</w:pPr>
            <w:r>
              <w:t>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sz w:val="28"/>
                <w:szCs w:val="28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Физическая охрана осуществляется с использованием систем контроля доступа (СКД) и видеонаблюдения, интегрированных в корпоративную сеть безопасности. Помещения, где размещены СВТ, оборудованы электронными замками и датчиками движения.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highlight w:val="yellow"/>
              </w:rPr>
            </w:pPr>
            <w:r>
              <w:rPr>
                <w:rFonts w:hint="default"/>
                <w:color w:val="auto"/>
                <w:highlight w:val="none"/>
              </w:rPr>
              <w:t>Дополнительно применяются меры физической безопасности, такие как охранные службы, регулярные патрули, а также сейфы и шкафы с усиленной защитой для хранения носителей информации.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highlight w:val="yellow"/>
              </w:rPr>
            </w:pPr>
            <w:r>
              <w:t>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sz w:val="28"/>
                <w:szCs w:val="28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Тестирование функций СЗИ НСД проводится с использованием встроенных средств безопасности ОС Windows и антивирусного ПО Kaspersky Endpoint Security Total Security. Регулярно выполняются сканирования на уязвимости и тестирование с использованием встроенных инструментов безопасности.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sz w:val="28"/>
                <w:szCs w:val="28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Для тестирования используются специализированные инструменты для проведения пентестов, такие как Metasploit, а также сторонние службы аудита и тестирования на проникновение. Применяются регулярные проверки и обновления политик безопасности.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highlight w:val="yellow"/>
              </w:rPr>
            </w:pPr>
            <w:r>
              <w:t>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работоспособности.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rFonts w:cs="Arial"/>
                <w:i/>
                <w:color w:val="7F7F7F" w:themeColor="background1" w:themeShade="80"/>
                <w:szCs w:val="20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Средства восстановления реализованы с использованием встроенных инструментов резервного копирования Windows Server и специализированного ПО для резервного копирования и восстановления данных, таких как Acronis Backup. Регулярно выполняется создание резервных копий и проверка их целостности.</w:t>
            </w:r>
          </w:p>
        </w:tc>
        <w:tc>
          <w:tcPr>
            <w:tcW w:w="1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1"/>
              <w:spacing w:before="0" w:after="0"/>
              <w:rPr>
                <w:color w:val="7F7F7F" w:themeColor="background1" w:themeShade="80"/>
                <w:sz w:val="28"/>
                <w:szCs w:val="28"/>
                <w:highlight w:val="yellow"/>
              </w:rPr>
            </w:pPr>
            <w:r>
              <w:rPr>
                <w:rFonts w:hint="default"/>
                <w:i w:val="0"/>
                <w:iCs/>
                <w:color w:val="auto"/>
                <w:szCs w:val="20"/>
              </w:rPr>
              <w:t>Дополнительно используются внешние системы резервного копирования и восстановления, такие как облачные решения для резервного копирования (например, AWS Backup), и периодическое тестирование восстановления данных для проверки работоспособности резервных копий.</w:t>
            </w:r>
          </w:p>
        </w:tc>
      </w:tr>
    </w:tbl>
    <w:p>
      <w:pPr>
        <w:pStyle w:val="3"/>
        <w:numPr>
          <w:ilvl w:val="0"/>
          <w:numId w:val="0"/>
        </w:numPr>
        <w:jc w:val="left"/>
      </w:pPr>
      <w:bookmarkStart w:id="6" w:name="_GoBack"/>
      <w:bookmarkEnd w:id="6"/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F7703"/>
    <w:multiLevelType w:val="multilevel"/>
    <w:tmpl w:val="005F77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33F60"/>
    <w:multiLevelType w:val="multilevel"/>
    <w:tmpl w:val="04D33F6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default" w:cs="Times New Roman"/>
      </w:rPr>
    </w:lvl>
  </w:abstractNum>
  <w:abstractNum w:abstractNumId="2">
    <w:nsid w:val="108022C2"/>
    <w:multiLevelType w:val="multilevel"/>
    <w:tmpl w:val="108022C2"/>
    <w:lvl w:ilvl="0" w:tentative="0">
      <w:start w:val="1"/>
      <w:numFmt w:val="bullet"/>
      <w:pStyle w:val="86"/>
      <w:lvlText w:val=""/>
      <w:lvlJc w:val="left"/>
      <w:pPr>
        <w:tabs>
          <w:tab w:val="left" w:pos="1429"/>
        </w:tabs>
        <w:ind w:left="1429" w:hanging="360"/>
      </w:pPr>
      <w:rPr>
        <w:rFonts w:hint="default" w:ascii="Wingdings 2" w:hAnsi="Wingdings 2" w:cs="Wingdings 2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239844ED"/>
    <w:multiLevelType w:val="multilevel"/>
    <w:tmpl w:val="239844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C66D9"/>
    <w:multiLevelType w:val="multilevel"/>
    <w:tmpl w:val="286C66D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5">
    <w:nsid w:val="39F35606"/>
    <w:multiLevelType w:val="multilevel"/>
    <w:tmpl w:val="39F35606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  <w:rPr>
        <w:i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1432" w:hanging="864"/>
      </w:pPr>
      <w:rPr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6">
    <w:nsid w:val="500E5FD0"/>
    <w:multiLevelType w:val="multilevel"/>
    <w:tmpl w:val="500E5F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B57ED"/>
    <w:multiLevelType w:val="multilevel"/>
    <w:tmpl w:val="614B57ED"/>
    <w:lvl w:ilvl="0" w:tentative="0">
      <w:start w:val="1"/>
      <w:numFmt w:val="bullet"/>
      <w:pStyle w:val="79"/>
      <w:lvlText w:val=""/>
      <w:lvlJc w:val="left"/>
      <w:pPr>
        <w:tabs>
          <w:tab w:val="left" w:pos="541"/>
        </w:tabs>
        <w:ind w:left="539" w:hanging="358"/>
      </w:pPr>
      <w:rPr>
        <w:rFonts w:hint="default" w:ascii="Wingdings" w:hAnsi="Wingdings" w:cs="Wingdings"/>
        <w:color w:val="7F7F7F" w:themeColor="background1" w:themeShade="80"/>
        <w:sz w:val="24"/>
        <w:szCs w:val="24"/>
      </w:rPr>
    </w:lvl>
    <w:lvl w:ilvl="1" w:tentative="0">
      <w:start w:val="1"/>
      <w:numFmt w:val="bullet"/>
      <w:lvlText w:val=""/>
      <w:lvlJc w:val="left"/>
      <w:pPr>
        <w:tabs>
          <w:tab w:val="left" w:pos="901"/>
        </w:tabs>
        <w:ind w:left="901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"/>
      <w:lvlJc w:val="left"/>
      <w:pPr>
        <w:tabs>
          <w:tab w:val="left" w:pos="1261"/>
        </w:tabs>
        <w:ind w:left="126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1621"/>
        </w:tabs>
        <w:ind w:left="162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"/>
      <w:lvlJc w:val="left"/>
      <w:pPr>
        <w:tabs>
          <w:tab w:val="left" w:pos="1981"/>
        </w:tabs>
        <w:ind w:left="1981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"/>
      <w:lvlJc w:val="left"/>
      <w:pPr>
        <w:tabs>
          <w:tab w:val="left" w:pos="2341"/>
        </w:tabs>
        <w:ind w:left="234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2701"/>
        </w:tabs>
        <w:ind w:left="2701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"/>
      <w:lvlJc w:val="left"/>
      <w:pPr>
        <w:tabs>
          <w:tab w:val="left" w:pos="3061"/>
        </w:tabs>
        <w:ind w:left="3061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"/>
      <w:lvlJc w:val="left"/>
      <w:pPr>
        <w:tabs>
          <w:tab w:val="left" w:pos="3421"/>
        </w:tabs>
        <w:ind w:left="3421" w:hanging="360"/>
      </w:pPr>
      <w:rPr>
        <w:rFonts w:hint="default" w:ascii="Symbol" w:hAnsi="Symbol" w:cs="Symbol"/>
      </w:rPr>
    </w:lvl>
  </w:abstractNum>
  <w:abstractNum w:abstractNumId="8">
    <w:nsid w:val="6E3951BE"/>
    <w:multiLevelType w:val="multilevel"/>
    <w:tmpl w:val="6E3951BE"/>
    <w:lvl w:ilvl="0" w:tentative="0">
      <w:start w:val="1"/>
      <w:numFmt w:val="bullet"/>
      <w:lvlText w:val=""/>
      <w:lvlJc w:val="left"/>
      <w:pPr>
        <w:tabs>
          <w:tab w:val="left" w:pos="1437"/>
        </w:tabs>
        <w:ind w:left="1437" w:hanging="360"/>
      </w:pPr>
      <w:rPr>
        <w:rFonts w:hint="default" w:ascii="Wingdings" w:hAnsi="Wingdings" w:cs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2157"/>
        </w:tabs>
        <w:ind w:left="21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77"/>
        </w:tabs>
        <w:ind w:left="287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97"/>
        </w:tabs>
        <w:ind w:left="359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17"/>
        </w:tabs>
        <w:ind w:left="43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37"/>
        </w:tabs>
        <w:ind w:left="503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57"/>
        </w:tabs>
        <w:ind w:left="575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77"/>
        </w:tabs>
        <w:ind w:left="64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97"/>
        </w:tabs>
        <w:ind w:left="7197" w:hanging="360"/>
      </w:pPr>
      <w:rPr>
        <w:rFonts w:hint="default" w:ascii="Wingdings" w:hAnsi="Wingdings" w:cs="Wingdings"/>
      </w:rPr>
    </w:lvl>
  </w:abstractNum>
  <w:abstractNum w:abstractNumId="9">
    <w:nsid w:val="7F2B618D"/>
    <w:multiLevelType w:val="multilevel"/>
    <w:tmpl w:val="7F2B618D"/>
    <w:lvl w:ilvl="0" w:tentative="0">
      <w:start w:val="1"/>
      <w:numFmt w:val="decimal"/>
      <w:pStyle w:val="83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0"/>
    <w:rsid w:val="001E7690"/>
    <w:rsid w:val="00F21345"/>
    <w:rsid w:val="22360C8C"/>
    <w:rsid w:val="2E615A4C"/>
    <w:rsid w:val="51CD0B44"/>
    <w:rsid w:val="5C590CD9"/>
    <w:rsid w:val="5F290809"/>
    <w:rsid w:val="693E7698"/>
    <w:rsid w:val="6E9B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qFormat/>
    <w:uiPriority w:val="9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3">
    <w:name w:val="heading 2"/>
    <w:basedOn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cs="Arial"/>
      <w:b/>
      <w:bCs/>
      <w:iCs/>
      <w:caps/>
      <w:szCs w:val="28"/>
    </w:rPr>
  </w:style>
  <w:style w:type="paragraph" w:styleId="4">
    <w:name w:val="heading 3"/>
    <w:basedOn w:val="1"/>
    <w:qFormat/>
    <w:uiPriority w:val="9"/>
    <w:pPr>
      <w:keepNext/>
      <w:numPr>
        <w:ilvl w:val="2"/>
        <w:numId w:val="1"/>
      </w:numPr>
      <w:spacing w:before="240" w:after="240"/>
      <w:jc w:val="both"/>
      <w:outlineLvl w:val="2"/>
    </w:pPr>
    <w:rPr>
      <w:rFonts w:ascii="Arial" w:hAnsi="Arial" w:cs="Arial"/>
      <w:b/>
      <w:bCs/>
      <w:i/>
      <w:caps/>
      <w:sz w:val="20"/>
      <w:szCs w:val="26"/>
    </w:rPr>
  </w:style>
  <w:style w:type="paragraph" w:styleId="5">
    <w:name w:val="heading 4"/>
    <w:basedOn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qFormat/>
    <w:uiPriority w:val="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qFormat/>
    <w:uiPriority w:val="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qFormat/>
    <w:uiPriority w:val="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after="140" w:line="276" w:lineRule="auto"/>
    </w:pPr>
  </w:style>
  <w:style w:type="paragraph" w:styleId="14">
    <w:name w:val="caption"/>
    <w:basedOn w:val="1"/>
    <w:qFormat/>
    <w:uiPriority w:val="35"/>
    <w:pPr>
      <w:keepNext/>
      <w:spacing w:before="120"/>
      <w:jc w:val="right"/>
    </w:pPr>
    <w:rPr>
      <w:rFonts w:ascii="Arial" w:hAnsi="Arial" w:cs="Arial"/>
      <w:b/>
      <w:bCs/>
      <w:sz w:val="20"/>
      <w:szCs w:val="20"/>
    </w:rPr>
  </w:style>
  <w:style w:type="character" w:styleId="15">
    <w:name w:val="endnote reference"/>
    <w:uiPriority w:val="0"/>
    <w:rPr>
      <w:vertAlign w:val="superscript"/>
    </w:rPr>
  </w:style>
  <w:style w:type="paragraph" w:styleId="16">
    <w:name w:val="endnote text"/>
    <w:basedOn w:val="1"/>
    <w:semiHidden/>
    <w:unhideWhenUsed/>
    <w:uiPriority w:val="99"/>
    <w:rPr>
      <w:sz w:val="20"/>
    </w:rPr>
  </w:style>
  <w:style w:type="paragraph" w:styleId="17">
    <w:name w:val="footer"/>
    <w:basedOn w:val="1"/>
    <w:unhideWhenUsed/>
    <w:uiPriority w:val="99"/>
    <w:pPr>
      <w:tabs>
        <w:tab w:val="center" w:pos="7143"/>
        <w:tab w:val="right" w:pos="14287"/>
      </w:tabs>
    </w:pPr>
  </w:style>
  <w:style w:type="character" w:styleId="18">
    <w:name w:val="footnote reference"/>
    <w:uiPriority w:val="0"/>
    <w:rPr>
      <w:vertAlign w:val="superscript"/>
    </w:rPr>
  </w:style>
  <w:style w:type="paragraph" w:styleId="19">
    <w:name w:val="footnote text"/>
    <w:basedOn w:val="1"/>
    <w:qFormat/>
    <w:uiPriority w:val="0"/>
    <w:rPr>
      <w:sz w:val="20"/>
      <w:szCs w:val="20"/>
    </w:rPr>
  </w:style>
  <w:style w:type="paragraph" w:styleId="20">
    <w:name w:val="header"/>
    <w:basedOn w:val="1"/>
    <w:unhideWhenUsed/>
    <w:uiPriority w:val="99"/>
    <w:pPr>
      <w:tabs>
        <w:tab w:val="center" w:pos="7143"/>
        <w:tab w:val="right" w:pos="14287"/>
      </w:tabs>
    </w:pPr>
  </w:style>
  <w:style w:type="character" w:styleId="21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index heading"/>
    <w:basedOn w:val="23"/>
    <w:uiPriority w:val="0"/>
  </w:style>
  <w:style w:type="paragraph" w:styleId="23">
    <w:name w:val="Title"/>
    <w:basedOn w:val="1"/>
    <w:next w:val="1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4">
    <w:name w:val="List"/>
    <w:basedOn w:val="13"/>
    <w:uiPriority w:val="0"/>
    <w:rPr>
      <w:rFonts w:cs="Noto Sans Devanagari"/>
    </w:rPr>
  </w:style>
  <w:style w:type="paragraph" w:styleId="25">
    <w:name w:val="Subtitle"/>
    <w:basedOn w:val="1"/>
    <w:qFormat/>
    <w:uiPriority w:val="11"/>
    <w:pPr>
      <w:spacing w:before="200" w:after="200"/>
    </w:pPr>
  </w:style>
  <w:style w:type="paragraph" w:styleId="26">
    <w:name w:val="table of figures"/>
    <w:basedOn w:val="1"/>
    <w:unhideWhenUsed/>
    <w:uiPriority w:val="99"/>
  </w:style>
  <w:style w:type="paragraph" w:styleId="27">
    <w:name w:val="toc 1"/>
    <w:basedOn w:val="1"/>
    <w:unhideWhenUsed/>
    <w:uiPriority w:val="39"/>
    <w:pPr>
      <w:spacing w:after="57"/>
    </w:pPr>
  </w:style>
  <w:style w:type="paragraph" w:styleId="28">
    <w:name w:val="toc 2"/>
    <w:basedOn w:val="1"/>
    <w:unhideWhenUsed/>
    <w:uiPriority w:val="39"/>
    <w:pPr>
      <w:spacing w:after="57"/>
      <w:ind w:left="283"/>
    </w:pPr>
  </w:style>
  <w:style w:type="paragraph" w:styleId="29">
    <w:name w:val="toc 3"/>
    <w:basedOn w:val="1"/>
    <w:unhideWhenUsed/>
    <w:uiPriority w:val="39"/>
    <w:pPr>
      <w:spacing w:after="57"/>
      <w:ind w:left="567"/>
    </w:pPr>
  </w:style>
  <w:style w:type="paragraph" w:styleId="30">
    <w:name w:val="toc 4"/>
    <w:basedOn w:val="1"/>
    <w:unhideWhenUsed/>
    <w:uiPriority w:val="39"/>
    <w:pPr>
      <w:spacing w:after="57"/>
      <w:ind w:left="850"/>
    </w:pPr>
  </w:style>
  <w:style w:type="paragraph" w:styleId="31">
    <w:name w:val="toc 5"/>
    <w:basedOn w:val="1"/>
    <w:unhideWhenUsed/>
    <w:uiPriority w:val="39"/>
    <w:pPr>
      <w:spacing w:after="57"/>
      <w:ind w:left="1134"/>
    </w:pPr>
  </w:style>
  <w:style w:type="paragraph" w:styleId="32">
    <w:name w:val="toc 6"/>
    <w:basedOn w:val="1"/>
    <w:unhideWhenUsed/>
    <w:uiPriority w:val="39"/>
    <w:pPr>
      <w:spacing w:after="57"/>
      <w:ind w:left="1417"/>
    </w:pPr>
  </w:style>
  <w:style w:type="paragraph" w:styleId="33">
    <w:name w:val="toc 7"/>
    <w:basedOn w:val="1"/>
    <w:unhideWhenUsed/>
    <w:uiPriority w:val="39"/>
    <w:pPr>
      <w:spacing w:after="57"/>
      <w:ind w:left="1701"/>
    </w:pPr>
  </w:style>
  <w:style w:type="paragraph" w:styleId="34">
    <w:name w:val="toc 8"/>
    <w:basedOn w:val="1"/>
    <w:unhideWhenUsed/>
    <w:uiPriority w:val="39"/>
    <w:pPr>
      <w:spacing w:after="57"/>
      <w:ind w:left="1984"/>
    </w:pPr>
  </w:style>
  <w:style w:type="paragraph" w:styleId="35">
    <w:name w:val="toc 9"/>
    <w:basedOn w:val="1"/>
    <w:unhideWhenUsed/>
    <w:uiPriority w:val="39"/>
    <w:pPr>
      <w:spacing w:after="57"/>
      <w:ind w:left="2268"/>
    </w:pPr>
  </w:style>
  <w:style w:type="character" w:customStyle="1" w:styleId="36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5">
    <w:name w:val="Title Char"/>
    <w:basedOn w:val="11"/>
    <w:qFormat/>
    <w:uiPriority w:val="10"/>
    <w:rPr>
      <w:sz w:val="48"/>
      <w:szCs w:val="48"/>
    </w:rPr>
  </w:style>
  <w:style w:type="character" w:customStyle="1" w:styleId="46">
    <w:name w:val="Subtitle Char"/>
    <w:basedOn w:val="11"/>
    <w:qFormat/>
    <w:uiPriority w:val="11"/>
    <w:rPr>
      <w:sz w:val="24"/>
      <w:szCs w:val="24"/>
    </w:rPr>
  </w:style>
  <w:style w:type="character" w:customStyle="1" w:styleId="47">
    <w:name w:val="Quote Char"/>
    <w:qFormat/>
    <w:uiPriority w:val="29"/>
    <w:rPr>
      <w:i/>
    </w:rPr>
  </w:style>
  <w:style w:type="character" w:customStyle="1" w:styleId="48">
    <w:name w:val="Intense Quote Char"/>
    <w:qFormat/>
    <w:uiPriority w:val="30"/>
    <w:rPr>
      <w:i/>
    </w:rPr>
  </w:style>
  <w:style w:type="character" w:customStyle="1" w:styleId="49">
    <w:name w:val="Header Char"/>
    <w:basedOn w:val="11"/>
    <w:qFormat/>
    <w:uiPriority w:val="99"/>
  </w:style>
  <w:style w:type="character" w:customStyle="1" w:styleId="50">
    <w:name w:val="Footer Char"/>
    <w:basedOn w:val="11"/>
    <w:qFormat/>
    <w:uiPriority w:val="99"/>
  </w:style>
  <w:style w:type="character" w:customStyle="1" w:styleId="51">
    <w:name w:val="Caption Char"/>
    <w:qFormat/>
    <w:uiPriority w:val="99"/>
  </w:style>
  <w:style w:type="character" w:customStyle="1" w:styleId="52">
    <w:name w:val="Footnote Text Char"/>
    <w:qFormat/>
    <w:uiPriority w:val="99"/>
    <w:rPr>
      <w:sz w:val="18"/>
    </w:rPr>
  </w:style>
  <w:style w:type="character" w:customStyle="1" w:styleId="53">
    <w:name w:val="Endnote Text Char"/>
    <w:qFormat/>
    <w:uiPriority w:val="99"/>
    <w:rPr>
      <w:sz w:val="20"/>
    </w:rPr>
  </w:style>
  <w:style w:type="character" w:customStyle="1" w:styleId="54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55">
    <w:name w:val="Заголовок 1 Знак"/>
    <w:basedOn w:val="11"/>
    <w:qFormat/>
    <w:uiPriority w:val="9"/>
    <w:rPr>
      <w:rFonts w:ascii="Arial" w:hAnsi="Arial" w:eastAsia="Times New Roman" w:cs="Arial"/>
      <w:b/>
      <w:bCs/>
      <w:caps/>
      <w:sz w:val="32"/>
      <w:szCs w:val="32"/>
      <w:lang w:eastAsia="ru-RU"/>
    </w:rPr>
  </w:style>
  <w:style w:type="character" w:customStyle="1" w:styleId="56">
    <w:name w:val="Заголовок 2 Знак"/>
    <w:basedOn w:val="11"/>
    <w:qFormat/>
    <w:uiPriority w:val="0"/>
    <w:rPr>
      <w:rFonts w:ascii="Arial" w:hAnsi="Arial" w:eastAsia="Times New Roman" w:cs="Arial"/>
      <w:b/>
      <w:bCs/>
      <w:iCs/>
      <w:caps/>
      <w:sz w:val="24"/>
      <w:szCs w:val="28"/>
      <w:lang w:eastAsia="ru-RU"/>
    </w:rPr>
  </w:style>
  <w:style w:type="character" w:customStyle="1" w:styleId="57">
    <w:name w:val="Заголовок 3 Знак"/>
    <w:basedOn w:val="11"/>
    <w:qFormat/>
    <w:uiPriority w:val="9"/>
    <w:rPr>
      <w:rFonts w:ascii="Arial" w:hAnsi="Arial" w:eastAsia="Times New Roman" w:cs="Arial"/>
      <w:b/>
      <w:bCs/>
      <w:i/>
      <w:caps/>
      <w:sz w:val="20"/>
      <w:szCs w:val="26"/>
      <w:lang w:eastAsia="ru-RU"/>
    </w:rPr>
  </w:style>
  <w:style w:type="character" w:customStyle="1" w:styleId="58">
    <w:name w:val="Заголовок 4 Знак"/>
    <w:basedOn w:val="11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59">
    <w:name w:val="Заголовок 5 Знак"/>
    <w:basedOn w:val="11"/>
    <w:qFormat/>
    <w:uiPriority w:val="9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11"/>
    <w:qFormat/>
    <w:uiPriority w:val="9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61">
    <w:name w:val="Заголовок 7 Знак"/>
    <w:basedOn w:val="11"/>
    <w:qFormat/>
    <w:uiPriority w:val="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2">
    <w:name w:val="Заголовок 8 Знак"/>
    <w:basedOn w:val="11"/>
    <w:qFormat/>
    <w:uiPriority w:val="9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63">
    <w:name w:val="Заголовок 9 Знак"/>
    <w:basedOn w:val="11"/>
    <w:qFormat/>
    <w:uiPriority w:val="9"/>
    <w:rPr>
      <w:rFonts w:ascii="Arial" w:hAnsi="Arial" w:eastAsia="Times New Roman" w:cs="Arial"/>
      <w:lang w:eastAsia="ru-RU"/>
    </w:rPr>
  </w:style>
  <w:style w:type="character" w:customStyle="1" w:styleId="64">
    <w:name w:val="S_Обычный Знак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5">
    <w:name w:val="S_СписокМ_Обычный Знак Знак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6">
    <w:name w:val="Абзац списка Знак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7">
    <w:name w:val="S_НазваниеТаблицы Знак"/>
    <w:qFormat/>
    <w:uiPriority w:val="0"/>
    <w:rPr>
      <w:rFonts w:ascii="Arial" w:hAnsi="Arial" w:eastAsia="Times New Roman" w:cs="Times New Roman"/>
      <w:b/>
      <w:sz w:val="20"/>
      <w:szCs w:val="24"/>
      <w:lang w:eastAsia="ru-RU"/>
    </w:rPr>
  </w:style>
  <w:style w:type="character" w:customStyle="1" w:styleId="68">
    <w:name w:val="S_ЗаголовкиТаблицы1 Знак"/>
    <w:qFormat/>
    <w:uiPriority w:val="0"/>
    <w:rPr>
      <w:rFonts w:ascii="Arial" w:hAnsi="Arial" w:eastAsia="Times New Roman" w:cs="Times New Roman"/>
      <w:b/>
      <w:caps/>
      <w:sz w:val="16"/>
      <w:szCs w:val="16"/>
      <w:lang w:eastAsia="ru-RU"/>
    </w:rPr>
  </w:style>
  <w:style w:type="character" w:customStyle="1" w:styleId="69">
    <w:name w:val="Текст сноски Знак"/>
    <w:basedOn w:val="11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70">
    <w:name w:val="Символ сноски"/>
    <w:qFormat/>
    <w:uiPriority w:val="0"/>
    <w:rPr>
      <w:vertAlign w:val="superscript"/>
    </w:rPr>
  </w:style>
  <w:style w:type="character" w:customStyle="1" w:styleId="71">
    <w:name w:val="Название объекта Знак"/>
    <w:qFormat/>
    <w:uiPriority w:val="35"/>
    <w:rPr>
      <w:rFonts w:ascii="Arial" w:hAnsi="Arial" w:eastAsia="Times New Roman" w:cs="Arial"/>
      <w:b/>
      <w:bCs/>
      <w:sz w:val="20"/>
      <w:szCs w:val="20"/>
      <w:lang w:eastAsia="ru-RU"/>
    </w:rPr>
  </w:style>
  <w:style w:type="character" w:customStyle="1" w:styleId="72">
    <w:name w:val="S_ТекстВТаблице2 Знак"/>
    <w:qFormat/>
    <w:uiPriority w:val="0"/>
    <w:rPr>
      <w:rFonts w:ascii="Times New Roman" w:hAnsi="Times New Roman" w:eastAsia="Times New Roman" w:cs="Times New Roman"/>
      <w:sz w:val="20"/>
      <w:szCs w:val="24"/>
      <w:lang w:eastAsia="ru-RU"/>
    </w:rPr>
  </w:style>
  <w:style w:type="paragraph" w:styleId="73">
    <w:name w:val="No Spacing"/>
    <w:qFormat/>
    <w:uiPriority w:val="1"/>
    <w:pPr>
      <w:suppressAutoHyphens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74">
    <w:name w:val="Quote"/>
    <w:basedOn w:val="1"/>
    <w:qFormat/>
    <w:uiPriority w:val="29"/>
    <w:pPr>
      <w:ind w:left="720" w:right="720"/>
    </w:pPr>
    <w:rPr>
      <w:i/>
    </w:rPr>
  </w:style>
  <w:style w:type="paragraph" w:styleId="75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160"/>
      <w:ind w:left="720" w:right="720"/>
    </w:pPr>
    <w:rPr>
      <w:i/>
    </w:rPr>
  </w:style>
  <w:style w:type="paragraph" w:customStyle="1" w:styleId="76">
    <w:name w:val="Колонтитул"/>
    <w:basedOn w:val="1"/>
    <w:qFormat/>
    <w:uiPriority w:val="0"/>
  </w:style>
  <w:style w:type="paragraph" w:customStyle="1" w:styleId="77">
    <w:name w:val="TOC Heading"/>
    <w:unhideWhenUsed/>
    <w:qFormat/>
    <w:uiPriority w:val="39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78">
    <w:name w:val="S_Обычный"/>
    <w:basedOn w:val="1"/>
    <w:qFormat/>
    <w:uiPriority w:val="0"/>
    <w:pPr>
      <w:widowControl w:val="0"/>
      <w:spacing w:before="120" w:after="120"/>
      <w:jc w:val="both"/>
    </w:pPr>
  </w:style>
  <w:style w:type="paragraph" w:customStyle="1" w:styleId="79">
    <w:name w:val="S_СписокМ_Обычный"/>
    <w:basedOn w:val="1"/>
    <w:qFormat/>
    <w:uiPriority w:val="0"/>
    <w:pPr>
      <w:numPr>
        <w:ilvl w:val="0"/>
        <w:numId w:val="2"/>
      </w:numPr>
      <w:spacing w:before="120"/>
      <w:jc w:val="both"/>
    </w:pPr>
  </w:style>
  <w:style w:type="paragraph" w:customStyle="1" w:styleId="80">
    <w:name w:val="S_НазваниеТаблицы"/>
    <w:basedOn w:val="78"/>
    <w:qFormat/>
    <w:uiPriority w:val="0"/>
    <w:pPr>
      <w:keepNext/>
      <w:jc w:val="right"/>
    </w:pPr>
    <w:rPr>
      <w:rFonts w:ascii="Arial" w:hAnsi="Arial"/>
      <w:b/>
      <w:sz w:val="20"/>
    </w:rPr>
  </w:style>
  <w:style w:type="paragraph" w:customStyle="1" w:styleId="81">
    <w:name w:val="S_ТекстВТаблице2"/>
    <w:basedOn w:val="78"/>
    <w:qFormat/>
    <w:uiPriority w:val="0"/>
    <w:pPr>
      <w:jc w:val="left"/>
    </w:pPr>
    <w:rPr>
      <w:sz w:val="20"/>
    </w:rPr>
  </w:style>
  <w:style w:type="paragraph" w:customStyle="1" w:styleId="82">
    <w:name w:val="S_ЗаголовкиТаблицы1"/>
    <w:basedOn w:val="78"/>
    <w:qFormat/>
    <w:uiPriority w:val="0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83">
    <w:name w:val="S_НумСписВТаблице2"/>
    <w:basedOn w:val="81"/>
    <w:qFormat/>
    <w:uiPriority w:val="0"/>
    <w:pPr>
      <w:numPr>
        <w:ilvl w:val="0"/>
        <w:numId w:val="3"/>
      </w:numPr>
      <w:ind w:left="0" w:firstLine="0"/>
    </w:pPr>
  </w:style>
  <w:style w:type="paragraph" w:styleId="84">
    <w:name w:val="List Paragraph"/>
    <w:basedOn w:val="1"/>
    <w:qFormat/>
    <w:uiPriority w:val="99"/>
    <w:pPr>
      <w:ind w:left="708"/>
    </w:pPr>
  </w:style>
  <w:style w:type="paragraph" w:customStyle="1" w:styleId="85">
    <w:name w:val="Стиль S_Обычный + 10 пт курсив"/>
    <w:basedOn w:val="78"/>
    <w:qFormat/>
    <w:uiPriority w:val="0"/>
    <w:rPr>
      <w:i/>
      <w:iCs/>
      <w:sz w:val="20"/>
    </w:rPr>
  </w:style>
  <w:style w:type="paragraph" w:customStyle="1" w:styleId="86">
    <w:name w:val="D_Маркированный список"/>
    <w:basedOn w:val="1"/>
    <w:qFormat/>
    <w:uiPriority w:val="0"/>
    <w:pPr>
      <w:numPr>
        <w:ilvl w:val="0"/>
        <w:numId w:val="4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0D34F-BE05-4619-A2AF-F6B2B864B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5456</Words>
  <Characters>31100</Characters>
  <Lines>259</Lines>
  <Paragraphs>72</Paragraphs>
  <TotalTime>55</TotalTime>
  <ScaleCrop>false</ScaleCrop>
  <LinksUpToDate>false</LinksUpToDate>
  <CharactersWithSpaces>36484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2024-04-24T12:44:00Z</dcterms:created>
  <dc:creator>Скороходова Кристина Алексеевна</dc:creator>
  <cp:lastModifiedBy>early</cp:lastModifiedBy>
  <dcterms:modified xsi:type="dcterms:W3CDTF">2024-05-16T21:36:15Z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4F16EEB5263448B2B5B1CFC9DC4AF36C_13</vt:lpwstr>
  </property>
</Properties>
</file>