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181"/>
      </w:tblGrid>
      <w:tr>
        <w:tc>
          <w:tcPr>
            <w:tcW w:type="dxa" w:w="10181"/>
            <w:shd w:fill="1A202C"/>
            <w:tcMar>
              <w:top w:w="400" w:type="dxa"/>
              <w:bottom w:w="400" w:type="dxa"/>
              <w:left w:w="250" w:type="dxa"/>
              <w:right w:w="250" w:type="dxa"/>
            </w:tcMar>
          </w:tcPr>
          <w:p>
            <w:pPr>
              <w:spacing w:before="0" w:after="80"/>
            </w:pPr>
            <w:r>
              <w:rPr>
                <w:rFonts w:ascii="Arial" w:hAnsi="Arial"/>
                <w:b/>
                <w:i w:val="0"/>
                <w:color w:val="FFFFFF"/>
                <w:sz w:val="48"/>
              </w:rPr>
              <w:t>Guía de Uso Técnico y Flujo de Trabajo</w:t>
            </w:r>
          </w:p>
          <w:p>
            <w:pPr>
              <w:spacing w:before="0" w:after="0"/>
            </w:pPr>
            <w:r>
              <w:rPr>
                <w:rFonts w:ascii="Arial" w:hAnsi="Arial"/>
                <w:b w:val="0"/>
                <w:i/>
                <w:color w:val="90E0EF"/>
                <w:sz w:val="24"/>
              </w:rPr>
              <w:t>Ecosistema Integrado de Captura, Procesamiento y Predicción Artificial ("Matching Learning")</w:t>
            </w:r>
          </w:p>
        </w:tc>
      </w:tr>
    </w:tbl>
    <w:p>
      <w:pPr>
        <w:spacing w:before="240" w:after="0"/>
      </w:pPr>
    </w:p>
    <w:tbl>
      <w:tblPr>
        <w:tblW w:type="auto" w:w="0"/>
        <w:tblLayout w:type="autofit"/>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2545"/>
        <w:gridCol w:w="2545"/>
        <w:gridCol w:w="2545"/>
        <w:gridCol w:w="2545"/>
      </w:tblGrid>
      <w:tr>
        <w:tc>
          <w:tcPr>
            <w:tcW w:type="dxa" w:w="2545"/>
            <w:shd w:fill="FFFFFF"/>
            <w:tcMar>
              <w:top w:w="100" w:type="dxa"/>
              <w:bottom w:w="100" w:type="dxa"/>
              <w:left w:w="100" w:type="dxa"/>
              <w:right w:w="100" w:type="dxa"/>
            </w:tcMar>
          </w:tcPr>
          <w:p>
            <w:pPr>
              <w:spacing w:before="0" w:after="0"/>
            </w:pPr>
            <w:r>
              <w:rPr>
                <w:rFonts w:ascii="Arial" w:hAnsi="Arial"/>
                <w:b/>
                <w:i w:val="0"/>
                <w:color w:val="4A5568"/>
                <w:sz w:val="19"/>
              </w:rPr>
              <w:t>Proyecto:</w:t>
            </w:r>
          </w:p>
        </w:tc>
        <w:tc>
          <w:tcPr>
            <w:tcW w:type="dxa" w:w="2545"/>
            <w:shd w:fill="FFFFFF"/>
            <w:tcMar>
              <w:top w:w="100" w:type="dxa"/>
              <w:bottom w:w="100" w:type="dxa"/>
              <w:left w:w="100" w:type="dxa"/>
              <w:right w:w="100" w:type="dxa"/>
            </w:tcMar>
          </w:tcPr>
          <w:p>
            <w:pPr>
              <w:spacing w:before="0" w:after="0"/>
            </w:pPr>
            <w:r>
              <w:rPr>
                <w:rFonts w:ascii="Arial" w:hAnsi="Arial"/>
                <w:b w:val="0"/>
                <w:i w:val="0"/>
                <w:color w:val="2D3748"/>
                <w:sz w:val="19"/>
              </w:rPr>
              <w:t>Matching Learning - Multi-Camera System</w:t>
            </w:r>
          </w:p>
        </w:tc>
        <w:tc>
          <w:tcPr>
            <w:tcW w:type="dxa" w:w="2545"/>
            <w:shd w:fill="FFFFFF"/>
            <w:tcMar>
              <w:top w:w="100" w:type="dxa"/>
              <w:bottom w:w="100" w:type="dxa"/>
              <w:left w:w="100" w:type="dxa"/>
              <w:right w:w="100" w:type="dxa"/>
            </w:tcMar>
          </w:tcPr>
          <w:p>
            <w:pPr>
              <w:spacing w:before="0" w:after="0"/>
            </w:pPr>
            <w:r>
              <w:rPr>
                <w:rFonts w:ascii="Arial" w:hAnsi="Arial"/>
                <w:b/>
                <w:i w:val="0"/>
                <w:color w:val="4A5568"/>
                <w:sz w:val="19"/>
              </w:rPr>
              <w:t>Entorno Técnico:</w:t>
            </w:r>
          </w:p>
        </w:tc>
        <w:tc>
          <w:tcPr>
            <w:tcW w:type="dxa" w:w="2545"/>
            <w:shd w:fill="FFFFFF"/>
            <w:tcMar>
              <w:top w:w="100" w:type="dxa"/>
              <w:bottom w:w="100" w:type="dxa"/>
              <w:left w:w="100" w:type="dxa"/>
              <w:right w:w="100" w:type="dxa"/>
            </w:tcMar>
          </w:tcPr>
          <w:p>
            <w:pPr>
              <w:spacing w:before="0" w:after="0"/>
            </w:pPr>
            <w:r>
              <w:rPr>
                <w:rFonts w:ascii="Arial" w:hAnsi="Arial"/>
                <w:b w:val="0"/>
                <w:i w:val="0"/>
                <w:color w:val="2D3748"/>
                <w:sz w:val="19"/>
              </w:rPr>
              <w:t>Python 3.8+ / TensorFlow / OpenCV</w:t>
            </w:r>
          </w:p>
        </w:tc>
      </w:tr>
      <w:tr>
        <w:tc>
          <w:tcPr>
            <w:tcW w:type="dxa" w:w="2545"/>
            <w:shd w:fill="FFFFFF"/>
            <w:tcMar>
              <w:top w:w="100" w:type="dxa"/>
              <w:bottom w:w="100" w:type="dxa"/>
              <w:left w:w="100" w:type="dxa"/>
              <w:right w:w="100" w:type="dxa"/>
            </w:tcMar>
          </w:tcPr>
          <w:p>
            <w:pPr>
              <w:spacing w:before="0" w:after="0"/>
            </w:pPr>
            <w:r>
              <w:rPr>
                <w:rFonts w:ascii="Arial" w:hAnsi="Arial"/>
                <w:b/>
                <w:i w:val="0"/>
                <w:color w:val="4A5568"/>
                <w:sz w:val="19"/>
              </w:rPr>
              <w:t>Clasificación:</w:t>
            </w:r>
          </w:p>
        </w:tc>
        <w:tc>
          <w:tcPr>
            <w:tcW w:type="dxa" w:w="2545"/>
            <w:shd w:fill="FFFFFF"/>
            <w:tcMar>
              <w:top w:w="100" w:type="dxa"/>
              <w:bottom w:w="100" w:type="dxa"/>
              <w:left w:w="100" w:type="dxa"/>
              <w:right w:w="100" w:type="dxa"/>
            </w:tcMar>
          </w:tcPr>
          <w:p>
            <w:pPr>
              <w:spacing w:before="0" w:after="0"/>
            </w:pPr>
            <w:r>
              <w:rPr>
                <w:rFonts w:ascii="Arial" w:hAnsi="Arial"/>
                <w:b w:val="0"/>
                <w:i w:val="0"/>
                <w:color w:val="2D3748"/>
                <w:sz w:val="19"/>
              </w:rPr>
              <w:t>Binaria (Objeto vs Fondo Vacío)</w:t>
            </w:r>
          </w:p>
        </w:tc>
        <w:tc>
          <w:tcPr>
            <w:tcW w:type="dxa" w:w="2545"/>
            <w:shd w:fill="FFFFFF"/>
            <w:tcMar>
              <w:top w:w="100" w:type="dxa"/>
              <w:bottom w:w="100" w:type="dxa"/>
              <w:left w:w="100" w:type="dxa"/>
              <w:right w:w="100" w:type="dxa"/>
            </w:tcMar>
          </w:tcPr>
          <w:p>
            <w:pPr>
              <w:spacing w:before="0" w:after="0"/>
            </w:pPr>
            <w:r>
              <w:rPr>
                <w:rFonts w:ascii="Arial" w:hAnsi="Arial"/>
                <w:b/>
                <w:i w:val="0"/>
                <w:color w:val="4A5568"/>
                <w:sz w:val="19"/>
              </w:rPr>
              <w:t>Tipo Documento:</w:t>
            </w:r>
          </w:p>
        </w:tc>
        <w:tc>
          <w:tcPr>
            <w:tcW w:type="dxa" w:w="2545"/>
            <w:shd w:fill="FFFFFF"/>
            <w:tcMar>
              <w:top w:w="100" w:type="dxa"/>
              <w:bottom w:w="100" w:type="dxa"/>
              <w:left w:w="100" w:type="dxa"/>
              <w:right w:w="100" w:type="dxa"/>
            </w:tcMar>
          </w:tcPr>
          <w:p>
            <w:pPr>
              <w:spacing w:before="0" w:after="0"/>
            </w:pPr>
            <w:r>
              <w:rPr>
                <w:rFonts w:ascii="Arial" w:hAnsi="Arial"/>
                <w:b w:val="0"/>
                <w:i w:val="0"/>
                <w:color w:val="2D3748"/>
                <w:sz w:val="19"/>
              </w:rPr>
              <w:t>Manual de Operación y Datos</w:t>
            </w:r>
          </w:p>
        </w:tc>
      </w:tr>
    </w:tbl>
    <w:p>
      <w:pPr>
        <w:keepNext/>
        <w:spacing w:before="480" w:after="200"/>
      </w:pPr>
      <w:r>
        <w:rPr>
          <w:rFonts w:ascii="Arial" w:hAnsi="Arial"/>
          <w:b/>
          <w:i w:val="0"/>
          <w:color w:val="00B4D8"/>
          <w:sz w:val="28"/>
        </w:rPr>
        <w:t>■  1. Introducción y Arquitectura del Directorio</w:t>
      </w:r>
    </w:p>
    <w:p>
      <w:pPr>
        <w:spacing w:before="0" w:after="160" w:line="288" w:lineRule="auto"/>
      </w:pPr>
      <w:r>
        <w:rPr>
          <w:rFonts w:ascii="Arial" w:hAnsi="Arial"/>
          <w:b w:val="0"/>
          <w:i w:val="0"/>
          <w:color w:val="2D3748"/>
          <w:sz w:val="20"/>
        </w:rPr>
        <w:t>Este manual proporciona las directrices paso a paso para operar el ecosistema de software Matching Learning. El sistema permite realizar de forma secuencial y modular la ingesta multi-cámara de imágenes, la estructuración rigurosa de particiones estadísticas, la aplicación de técnicas avanzadas de aumentación de datos (data augmentation) y balanceo algorítmico, el entrenamiento de una red neuronal convolucional mediante Deep Learning, y la posterior inferencia predictiva en tiempo real con baja latencia.</w:t>
      </w:r>
    </w:p>
    <w:p>
      <w:pPr>
        <w:spacing w:before="0" w:after="160" w:line="288" w:lineRule="auto"/>
      </w:pPr>
      <w:r>
        <w:rPr>
          <w:rFonts w:ascii="Arial" w:hAnsi="Arial"/>
          <w:b w:val="0"/>
          <w:i w:val="0"/>
          <w:color w:val="2D3748"/>
          <w:sz w:val="20"/>
        </w:rPr>
        <w:t>Para garantizar el correcto funcionamiento del pipeline, es un requisito mandatorio mantener la coherencia y la integridad estructural de las tres carpetas principales del proyecto:</w:t>
      </w:r>
    </w:p>
    <w:tbl>
      <w:tblPr>
        <w:tblW w:type="auto" w:w="0"/>
        <w:tblLayout w:type="fixed"/>
        <w:tblLook w:firstColumn="1" w:firstRow="1" w:lastColumn="0" w:lastRow="0" w:noHBand="0" w:noVBand="1" w:val="04A0"/>
        <w:tblBorders>
          <w:left w:val="single" w:sz="24" w:space="0" w:color="38BDF8"/>
        </w:tblBorders>
      </w:tblPr>
      <w:tblGrid>
        <w:gridCol w:w="10181"/>
      </w:tblGrid>
      <w:tr>
        <w:tc>
          <w:tcPr>
            <w:tcW w:type="dxa" w:w="10181"/>
            <w:shd w:fill="1E293B"/>
            <w:tcMar>
              <w:top w:w="144" w:type="dxa"/>
              <w:bottom w:w="144" w:type="dxa"/>
              <w:left w:w="144" w:type="dxa"/>
              <w:right w:w="144" w:type="dxa"/>
            </w:tcMar>
          </w:tcPr>
          <w:p>
            <w:pPr>
              <w:spacing w:before="0" w:after="0"/>
            </w:pPr>
            <w:r>
              <w:rPr>
                <w:rFonts w:ascii="Courier New" w:hAnsi="Courier New"/>
                <w:b w:val="0"/>
                <w:i w:val="0"/>
                <w:color w:val="E2E8F0"/>
                <w:sz w:val="18"/>
              </w:rPr>
              <w:t>📦 Proyecto Raíz</w:t>
              <w:br/>
              <w:t>├── 📂 dataset/                     # Almacén crudo de capturas directas desde la UI</w:t>
              <w:br/>
              <w:t>│   ├── 📂 fondo_vacio/             # Imágenes de control del entorno sin objeto</w:t>
              <w:br/>
              <w:t>│   └── 📂 objeto_a/                # Imágenes del objetivo bajo análisis</w:t>
              <w:br/>
              <w:t>├── 📂 dataset_final/               # Datos procesados, particionados y balanceados</w:t>
              <w:br/>
              <w:t>│   ├── 📂 train/                   # Subconjunto de entrenamiento (balanceado algorítmicamente)</w:t>
              <w:br/>
              <w:t>│   ├── 📂 val/                     # Subconjunto de validación para ajuste de hiperparámetros</w:t>
              <w:br/>
              <w:t>│   └── 📂 test/                    # Subconjunto de prueba ciega para evaluación final</w:t>
              <w:br/>
              <w:t>├── 📂 modelos/                     # Repositorio de artefactos serializados de Keras (.h5)</w:t>
              <w:br/>
              <w:t>├── 📄 Rec.py                       # Aplicación monolítica de interfaz GUI y lógica de captura</w:t>
              <w:br/>
              <w:t>├── 📄 organizar_dataset.py         # Script de partición estadística por disparo atómico</w:t>
              <w:br/>
              <w:t>├── 📄 balancear_dataset.py         # Script de sobremuestreo guiado por Albumentations</w:t>
              <w:br/>
              <w:t>├── 📄 augment_data.py              # Script complementario de expansión sintética de fondo</w:t>
              <w:br/>
              <w:t>└── 📓 entrenamiento.ipynb          # Notebook interactivo para Cloud TPU/GPU en Google Colab</w:t>
            </w:r>
          </w:p>
        </w:tc>
      </w:tr>
    </w:tbl>
    <w:tbl>
      <w:tblPr>
        <w:tblW w:type="auto" w:w="0"/>
        <w:tblLayout w:type="fixed"/>
        <w:tblLook w:firstColumn="1" w:firstRow="1" w:lastColumn="0" w:lastRow="0" w:noHBand="0" w:noVBand="1" w:val="04A0"/>
        <w:tblBorders>
          <w:top w:val="single" w:sz="4" w:space="0" w:color="E2E8F0"/>
          <w:bottom w:val="single" w:sz="4" w:space="0" w:color="E2E8F0"/>
          <w:insideH w:val="single" w:sz="4" w:space="0" w:color="E2E8F0"/>
        </w:tblBorders>
      </w:tblPr>
      <w:tblGrid>
        <w:gridCol w:w="2160"/>
        <w:gridCol w:w="4853"/>
        <w:gridCol w:w="3168"/>
      </w:tblGrid>
      <w:tr>
        <w:tc>
          <w:tcPr>
            <w:tcW w:type="dxa" w:w="3394"/>
            <w:shd w:fill="2D3748"/>
            <w:tcMar>
              <w:top w:w="120" w:type="dxa"/>
              <w:bottom w:w="120" w:type="dxa"/>
              <w:left w:w="120" w:type="dxa"/>
              <w:right w:w="120" w:type="dxa"/>
            </w:tcMar>
          </w:tcPr>
          <w:p>
            <w:pPr>
              <w:spacing w:before="0" w:after="0"/>
            </w:pPr>
            <w:r>
              <w:rPr>
                <w:rFonts w:ascii="Arial" w:hAnsi="Arial"/>
                <w:b/>
                <w:i w:val="0"/>
                <w:color w:val="FFFFFF"/>
                <w:sz w:val="19"/>
              </w:rPr>
              <w:t>Componente Core</w:t>
            </w:r>
          </w:p>
        </w:tc>
        <w:tc>
          <w:tcPr>
            <w:tcW w:type="dxa" w:w="3394"/>
            <w:shd w:fill="2D3748"/>
            <w:tcMar>
              <w:top w:w="120" w:type="dxa"/>
              <w:bottom w:w="120" w:type="dxa"/>
              <w:left w:w="120" w:type="dxa"/>
              <w:right w:w="120" w:type="dxa"/>
            </w:tcMar>
          </w:tcPr>
          <w:p>
            <w:pPr>
              <w:spacing w:before="0" w:after="0"/>
            </w:pPr>
            <w:r>
              <w:rPr>
                <w:rFonts w:ascii="Arial" w:hAnsi="Arial"/>
                <w:b/>
                <w:i w:val="0"/>
                <w:color w:val="FFFFFF"/>
                <w:sz w:val="19"/>
              </w:rPr>
              <w:t>Función Operativa Principal</w:t>
            </w:r>
          </w:p>
        </w:tc>
        <w:tc>
          <w:tcPr>
            <w:tcW w:type="dxa" w:w="3394"/>
            <w:shd w:fill="2D3748"/>
            <w:tcMar>
              <w:top w:w="120" w:type="dxa"/>
              <w:bottom w:w="120" w:type="dxa"/>
              <w:left w:w="120" w:type="dxa"/>
              <w:right w:w="120" w:type="dxa"/>
            </w:tcMar>
          </w:tcPr>
          <w:p>
            <w:pPr>
              <w:spacing w:before="0" w:after="0"/>
            </w:pPr>
            <w:r>
              <w:rPr>
                <w:rFonts w:ascii="Arial" w:hAnsi="Arial"/>
                <w:b/>
                <w:i w:val="0"/>
                <w:color w:val="FFFFFF"/>
                <w:sz w:val="19"/>
              </w:rPr>
              <w:t>Dependencias Críticas</w:t>
            </w:r>
          </w:p>
        </w:tc>
      </w:tr>
      <w:tr>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 dataset</w:t>
            </w:r>
          </w:p>
        </w:tc>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Persistencia transaccional de imágenes organizadas estrictamente por el nombre de la etiqueta.</w:t>
            </w:r>
          </w:p>
        </w:tc>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cv2.imwrite / Disparos síncronos</w:t>
            </w:r>
          </w:p>
        </w:tc>
      </w:tr>
      <w:tr>
        <w:tc>
          <w:tcPr>
            <w:tcW w:type="dxa" w:w="3394"/>
            <w:shd w:fill="F7FAFC"/>
            <w:tcMar>
              <w:top w:w="100" w:type="dxa"/>
              <w:bottom w:w="100" w:type="dxa"/>
              <w:left w:w="100" w:type="dxa"/>
              <w:right w:w="100" w:type="dxa"/>
            </w:tcMar>
          </w:tcPr>
          <w:p>
            <w:pPr>
              <w:spacing w:before="0" w:after="0"/>
            </w:pPr>
            <w:r>
              <w:rPr>
                <w:rFonts w:ascii="Arial" w:hAnsi="Arial"/>
                <w:b w:val="0"/>
                <w:i w:val="0"/>
                <w:color w:val="2D3748"/>
                <w:sz w:val="18"/>
              </w:rPr>
              <w:t>📂 dataset_final</w:t>
            </w:r>
          </w:p>
        </w:tc>
        <w:tc>
          <w:tcPr>
            <w:tcW w:type="dxa" w:w="3394"/>
            <w:shd w:fill="F7FAFC"/>
            <w:tcMar>
              <w:top w:w="100" w:type="dxa"/>
              <w:bottom w:w="100" w:type="dxa"/>
              <w:left w:w="100" w:type="dxa"/>
              <w:right w:w="100" w:type="dxa"/>
            </w:tcMar>
          </w:tcPr>
          <w:p>
            <w:pPr>
              <w:spacing w:before="0" w:after="0"/>
            </w:pPr>
            <w:r>
              <w:rPr>
                <w:rFonts w:ascii="Arial" w:hAnsi="Arial"/>
                <w:b w:val="0"/>
                <w:i w:val="0"/>
                <w:color w:val="2D3748"/>
                <w:sz w:val="18"/>
              </w:rPr>
              <w:t>Estructura canónica de Computer Vision para carga de flujos (Generators/Datasets). Interviene en entrenamiento y evaluación.</w:t>
            </w:r>
          </w:p>
        </w:tc>
        <w:tc>
          <w:tcPr>
            <w:tcW w:type="dxa" w:w="3394"/>
            <w:shd w:fill="F7FAFC"/>
            <w:tcMar>
              <w:top w:w="100" w:type="dxa"/>
              <w:bottom w:w="100" w:type="dxa"/>
              <w:left w:w="100" w:type="dxa"/>
              <w:right w:w="100" w:type="dxa"/>
            </w:tcMar>
          </w:tcPr>
          <w:p>
            <w:pPr>
              <w:spacing w:before="0" w:after="0"/>
            </w:pPr>
            <w:r>
              <w:rPr>
                <w:rFonts w:ascii="Arial" w:hAnsi="Arial"/>
                <w:b w:val="0"/>
                <w:i w:val="0"/>
                <w:color w:val="2D3748"/>
                <w:sz w:val="18"/>
              </w:rPr>
              <w:t>tf.keras.utils.image_dataset_from_directory</w:t>
            </w:r>
          </w:p>
        </w:tc>
      </w:tr>
      <w:tr>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 modelos</w:t>
            </w:r>
          </w:p>
        </w:tc>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Almacenamiento e indexación de pesos consolidados y topologías listas para producción.</w:t>
            </w:r>
          </w:p>
        </w:tc>
        <w:tc>
          <w:tcPr>
            <w:tcW w:type="dxa" w:w="3394"/>
            <w:shd w:fill="FFFFFF"/>
            <w:tcMar>
              <w:top w:w="100" w:type="dxa"/>
              <w:bottom w:w="100" w:type="dxa"/>
              <w:left w:w="100" w:type="dxa"/>
              <w:right w:w="100" w:type="dxa"/>
            </w:tcMar>
          </w:tcPr>
          <w:p>
            <w:pPr>
              <w:spacing w:before="0" w:after="0"/>
            </w:pPr>
            <w:r>
              <w:rPr>
                <w:rFonts w:ascii="Arial" w:hAnsi="Arial"/>
                <w:b w:val="0"/>
                <w:i w:val="0"/>
                <w:color w:val="2D3748"/>
                <w:sz w:val="18"/>
              </w:rPr>
              <w:t>TensorFlow HDF5 (.h5)</w:t>
            </w:r>
          </w:p>
        </w:tc>
      </w:tr>
    </w:tbl>
    <w:p>
      <w:pPr>
        <w:keepNext/>
        <w:spacing w:before="480" w:after="200"/>
      </w:pPr>
      <w:r>
        <w:rPr>
          <w:rFonts w:ascii="Arial" w:hAnsi="Arial"/>
          <w:b/>
          <w:i w:val="0"/>
          <w:color w:val="00B4D8"/>
          <w:sz w:val="28"/>
        </w:rPr>
        <w:t>■  2. Desglose Teórico y Operativo por Sección</w:t>
      </w:r>
    </w:p>
    <w:p>
      <w:pPr>
        <w:keepNext/>
        <w:spacing w:before="320" w:after="120"/>
      </w:pPr>
      <w:r>
        <w:rPr>
          <w:rFonts w:ascii="Arial" w:hAnsi="Arial"/>
          <w:b/>
          <w:i w:val="0"/>
          <w:color w:val="2C5282"/>
          <w:sz w:val="23"/>
        </w:rPr>
        <w:t>Sección A: Ingesta de Datos en Tiempo Real e Interfaz de Captura (Rec.py)</w:t>
      </w:r>
    </w:p>
    <w:p>
      <w:pPr>
        <w:spacing w:before="0" w:after="160" w:line="288" w:lineRule="auto"/>
      </w:pPr>
      <w:r>
        <w:rPr>
          <w:rFonts w:ascii="Arial" w:hAnsi="Arial"/>
          <w:b w:val="0"/>
          <w:i w:val="0"/>
          <w:color w:val="2D3748"/>
          <w:sz w:val="20"/>
        </w:rPr>
        <w:t>Esta sección se encarga del puente físico-digital. Combina una arquitectura de hilos de ejecución (multithreading) en Tkinter para la interfaz gráfica y OpenCV para la comunicación síncrona con hardware de video industrial o webcams del sistema. Evita el congelamiento del bucle de visualización principal mientras gestiona buffers internos de fotogramas.</w:t>
      </w:r>
    </w:p>
    <w:p>
      <w:pPr>
        <w:spacing w:before="0" w:after="160" w:line="288" w:lineRule="auto"/>
      </w:pPr>
      <w:r>
        <w:rPr>
          <w:rFonts w:ascii="Arial" w:hAnsi="Arial"/>
          <w:b/>
          <w:i w:val="0"/>
          <w:color w:val="2D3748"/>
          <w:sz w:val="20"/>
        </w:rPr>
        <w:t xml:space="preserve">• Detección Dinámica: </w:t>
      </w:r>
      <w:r>
        <w:rPr>
          <w:rFonts w:ascii="Arial" w:hAnsi="Arial"/>
          <w:b w:val="0"/>
          <w:i w:val="0"/>
          <w:color w:val="2D3748"/>
          <w:sz w:val="20"/>
        </w:rPr>
        <w:t>Escanea e identifica automáticamente los índices de video del sistema. Implementa compatibilidad en Windows mediante pygrabber para heredar nombres nativos de controladores.</w:t>
      </w:r>
    </w:p>
    <w:p>
      <w:pPr>
        <w:spacing w:before="0" w:after="160" w:line="288" w:lineRule="auto"/>
      </w:pPr>
      <w:r>
        <w:rPr>
          <w:rFonts w:ascii="Arial" w:hAnsi="Arial"/>
          <w:b/>
          <w:i w:val="0"/>
          <w:color w:val="2D3748"/>
          <w:sz w:val="20"/>
        </w:rPr>
        <w:t xml:space="preserve">• Lógica de Disparo Atómico (Matching Shot): </w:t>
      </w:r>
      <w:r>
        <w:rPr>
          <w:rFonts w:ascii="Arial" w:hAnsi="Arial"/>
          <w:b w:val="0"/>
          <w:i w:val="0"/>
          <w:color w:val="2D3748"/>
          <w:sz w:val="20"/>
        </w:rPr>
        <w:t>Al operar con cámaras concurrentes (hasta 4), el sistema genera un identificador numérico secuencial único (disparo_id). Cada cámara guarda el fotograma exacto bajo la nomenclatura '{disparo}_c{camara_index}.jpg', asegurando correlación temporal espacial absoluta.</w:t>
      </w:r>
    </w:p>
    <w:p>
      <w:pPr>
        <w:keepNext/>
        <w:spacing w:before="320" w:after="120"/>
      </w:pPr>
      <w:r>
        <w:rPr>
          <w:rFonts w:ascii="Arial" w:hAnsi="Arial"/>
          <w:b/>
          <w:i w:val="0"/>
          <w:color w:val="2C5282"/>
          <w:sz w:val="23"/>
        </w:rPr>
        <w:t>Sección B: Partición Estadística Atómica (organizar_dataset.py)</w:t>
      </w:r>
    </w:p>
    <w:p>
      <w:pPr>
        <w:spacing w:before="0" w:after="160" w:line="288" w:lineRule="auto"/>
      </w:pPr>
      <w:r>
        <w:rPr>
          <w:rFonts w:ascii="Arial" w:hAnsi="Arial"/>
          <w:b w:val="0"/>
          <w:i w:val="0"/>
          <w:color w:val="2D3748"/>
          <w:sz w:val="20"/>
        </w:rPr>
        <w:t>Una partición aleatoria convencional a nivel de archivos individuales rompería la correlación espacial de los datos multi-cámara: fotos del mismo disparo exacto terminarían repartidas simultáneamente entre el conjunto de entrenamiento y validación, introduciendo un sesgo de información crítico (Data Leakage).</w:t>
      </w:r>
    </w:p>
    <w:tbl>
      <w:tblPr>
        <w:tblW w:type="auto" w:w="0"/>
        <w:tblLayout w:type="fixed"/>
        <w:tblLook w:firstColumn="1" w:firstRow="1" w:lastColumn="0" w:lastRow="0" w:noHBand="0" w:noVBand="1" w:val="04A0"/>
        <w:tblBorders>
          <w:left w:val="single" w:sz="32" w:space="0" w:color="0284C7"/>
        </w:tblBorders>
      </w:tblPr>
      <w:tblGrid>
        <w:gridCol w:w="10181"/>
      </w:tblGrid>
      <w:tr>
        <w:tc>
          <w:tcPr>
            <w:tcW w:type="dxa" w:w="10181"/>
            <w:shd w:fill="E0F2FE"/>
            <w:tcMar>
              <w:top w:w="144" w:type="dxa"/>
              <w:bottom w:w="144" w:type="dxa"/>
              <w:left w:w="144" w:type="dxa"/>
              <w:right w:w="144" w:type="dxa"/>
            </w:tcMar>
          </w:tcPr>
          <w:p>
            <w:pPr>
              <w:spacing w:before="0" w:after="80"/>
            </w:pPr>
            <w:r>
              <w:rPr>
                <w:rFonts w:ascii="Arial" w:hAnsi="Arial"/>
                <w:b/>
                <w:i w:val="0"/>
                <w:color w:val="0369A1"/>
                <w:sz w:val="20"/>
              </w:rPr>
              <w:t>Principio del Pipeline Lineal Estadístico</w:t>
            </w:r>
          </w:p>
          <w:p>
            <w:pPr>
              <w:spacing w:before="0" w:after="0" w:line="276" w:lineRule="auto"/>
            </w:pPr>
            <w:r>
              <w:rPr>
                <w:rFonts w:ascii="Arial" w:hAnsi="Arial"/>
                <w:b w:val="0"/>
                <w:i w:val="0"/>
                <w:color w:val="2D3748"/>
                <w:sz w:val="19"/>
              </w:rPr>
              <w:t>Este componente agrupa los archivos por su raíz disparo_id, garantizando que todas las perspectivas tridimensionales capturadas en un mismo instante de tiempo permanezcan unidas, enviando el grupo atómico completo ya sea a train (70%), val (15%) o test (15%).</w:t>
            </w:r>
          </w:p>
        </w:tc>
      </w:tr>
    </w:tbl>
    <w:p>
      <w:pPr>
        <w:keepNext/>
        <w:spacing w:before="320" w:after="120"/>
      </w:pPr>
      <w:r>
        <w:rPr>
          <w:rFonts w:ascii="Arial" w:hAnsi="Arial"/>
          <w:b/>
          <w:i w:val="0"/>
          <w:color w:val="2C5282"/>
          <w:sz w:val="23"/>
        </w:rPr>
        <w:t>Sección C: Mitigación de Desbalance de Clases y Expansión Sintética</w:t>
      </w:r>
    </w:p>
    <w:p>
      <w:pPr>
        <w:spacing w:before="0" w:after="160" w:line="288" w:lineRule="auto"/>
      </w:pPr>
      <w:r>
        <w:rPr>
          <w:rFonts w:ascii="Arial" w:hAnsi="Arial"/>
          <w:b w:val="0"/>
          <w:i w:val="0"/>
          <w:color w:val="2D3748"/>
          <w:sz w:val="20"/>
        </w:rPr>
        <w:t>Los modelos de Deep Learning sufren desviaciones predictivas severas hacia la clase mayoritaria si se entrenan con conjuntos asimétricos. El ecosistema aborda esto mediante dos módulos basados en la librería de alto rendimiento Albumentations:</w:t>
      </w:r>
    </w:p>
    <w:p>
      <w:pPr>
        <w:spacing w:before="0" w:after="160" w:line="288" w:lineRule="auto"/>
      </w:pPr>
      <w:r>
        <w:rPr>
          <w:rFonts w:ascii="Arial" w:hAnsi="Arial"/>
          <w:b/>
          <w:i w:val="0"/>
          <w:color w:val="2D3748"/>
          <w:sz w:val="20"/>
        </w:rPr>
        <w:t xml:space="preserve">1. augment_data.py: </w:t>
      </w:r>
      <w:r>
        <w:rPr>
          <w:rFonts w:ascii="Arial" w:hAnsi="Arial"/>
          <w:b w:val="0"/>
          <w:i w:val="0"/>
          <w:color w:val="2D3748"/>
          <w:sz w:val="20"/>
        </w:rPr>
        <w:t>Aplica transformaciones estocásticas complejas a la clase base de control (volteos, rotaciones ortogonales de 90 grados, cambios de contraste y brillo, e inyección de ruido Gaussiano) para flexibilizar la invariancia espacial de la red frente al ruido del sensor óptico.</w:t>
      </w:r>
    </w:p>
    <w:p>
      <w:pPr>
        <w:spacing w:before="0" w:after="160" w:line="288" w:lineRule="auto"/>
      </w:pPr>
      <w:r>
        <w:rPr>
          <w:rFonts w:ascii="Arial" w:hAnsi="Arial"/>
          <w:b/>
          <w:i w:val="0"/>
          <w:color w:val="2D3748"/>
          <w:sz w:val="20"/>
        </w:rPr>
        <w:t xml:space="preserve">2. balancear_dataset.py: </w:t>
      </w:r>
      <w:r>
        <w:rPr>
          <w:rFonts w:ascii="Arial" w:hAnsi="Arial"/>
          <w:b w:val="0"/>
          <w:i w:val="0"/>
          <w:color w:val="2D3748"/>
          <w:sz w:val="20"/>
        </w:rPr>
        <w:t>Mide dinámicamente las cardinalidades de ambas clases dentro de la partición de entrenamiento. Selecciona automáticamente la clase minoritaria y genera transformaciones balanceadas al vuelo hasta igualar matemáticamente la cantidad de muestras del conjunto dominante.</w:t>
      </w:r>
    </w:p>
    <w:p>
      <w:pPr>
        <w:keepNext/>
        <w:spacing w:before="320" w:after="120"/>
      </w:pPr>
      <w:r>
        <w:rPr>
          <w:rFonts w:ascii="Arial" w:hAnsi="Arial"/>
          <w:b/>
          <w:i w:val="0"/>
          <w:color w:val="2C5282"/>
          <w:sz w:val="23"/>
        </w:rPr>
        <w:t>Sección D: Pipeline de Optimización y Transfer Learning (entrenamiento.ipynb)</w:t>
      </w:r>
    </w:p>
    <w:p>
      <w:pPr>
        <w:spacing w:before="0" w:after="160" w:line="288" w:lineRule="auto"/>
      </w:pPr>
      <w:r>
        <w:rPr>
          <w:rFonts w:ascii="Arial" w:hAnsi="Arial"/>
          <w:b w:val="0"/>
          <w:i w:val="0"/>
          <w:color w:val="2D3748"/>
          <w:sz w:val="20"/>
        </w:rPr>
        <w:t>Diseñado para su ejecución inmediata en entornos de alta computación como Google Colab. El script automatiza el montaje de sistemas de archivos remotos, la descompresión del dataset consolidado y la construcción de un pipeline de datos optimizado mediante la API tf.data.</w:t>
      </w:r>
    </w:p>
    <w:p>
      <w:pPr>
        <w:spacing w:before="0" w:after="160" w:line="288" w:lineRule="auto"/>
      </w:pPr>
      <w:r>
        <w:rPr>
          <w:rFonts w:ascii="Arial" w:hAnsi="Arial"/>
          <w:b w:val="0"/>
          <w:i w:val="0"/>
          <w:color w:val="2D3748"/>
          <w:sz w:val="20"/>
        </w:rPr>
        <w:t>Aplica técnicas de regularización avanzadas, como capas de dropout y detención temprana adaptativa (EarlyStopping), monitoreando la pérdida en validación para evitar el sobreajuste (overfitting). Finalmente, evalúa el rendimiento del modelo mediante métricas robustas extraídas de una matriz de confusión detallada.</w:t>
      </w:r>
    </w:p>
    <w:p>
      <w:pPr>
        <w:keepNext/>
        <w:spacing w:before="480" w:after="200"/>
      </w:pPr>
      <w:r>
        <w:rPr>
          <w:rFonts w:ascii="Arial" w:hAnsi="Arial"/>
          <w:b/>
          <w:i w:val="0"/>
          <w:color w:val="00B4D8"/>
          <w:sz w:val="28"/>
        </w:rPr>
        <w:t>■  3. Flujo Tutorial Paso a Paso (Guía Operativa)</w:t>
      </w:r>
    </w:p>
    <w:p>
      <w:pPr>
        <w:keepNext/>
        <w:spacing w:before="320" w:after="120"/>
      </w:pPr>
      <w:r>
        <w:rPr>
          <w:rFonts w:ascii="Arial" w:hAnsi="Arial"/>
          <w:b/>
          <w:i w:val="0"/>
          <w:color w:val="2C5282"/>
          <w:sz w:val="23"/>
        </w:rPr>
        <w:t>Paso 1: Preparación del Entorno Operativo e Instalación de Dependencias</w:t>
      </w:r>
    </w:p>
    <w:p>
      <w:pPr>
        <w:spacing w:line="276" w:lineRule="auto" w:after="160"/>
      </w:pPr>
      <w:r>
        <w:rPr>
          <w:rFonts w:ascii="Arial" w:hAnsi="Arial"/>
          <w:b w:val="0"/>
          <w:i w:val="0"/>
          <w:color w:val="2D3748"/>
          <w:sz w:val="19"/>
        </w:rPr>
        <w:t>Abra su terminal del sistema o consola de comandos enfocada en la raíz del proyecto. Instale las librerías necesarias mediante el gestor de paquetes de Python de la siguiente manera:</w:t>
        <w:br/>
        <w:br/>
        <w:t>pip install opencv-python tensorflow pillow albumentations pygrabber matplotlib seaborn</w:t>
      </w:r>
    </w:p>
    <w:p>
      <w:pPr>
        <w:keepNext/>
        <w:spacing w:before="320" w:after="120"/>
      </w:pPr>
      <w:r>
        <w:rPr>
          <w:rFonts w:ascii="Arial" w:hAnsi="Arial"/>
          <w:b/>
          <w:i w:val="0"/>
          <w:color w:val="2C5282"/>
          <w:sz w:val="23"/>
        </w:rPr>
        <w:t>Paso 2: Ejecución del Sistema de Captura e Ingesta Core</w:t>
      </w:r>
    </w:p>
    <w:p>
      <w:pPr>
        <w:spacing w:line="276" w:lineRule="auto" w:after="160"/>
      </w:pPr>
      <w:r>
        <w:rPr>
          <w:rFonts w:ascii="Arial" w:hAnsi="Arial"/>
          <w:b w:val="0"/>
          <w:i w:val="0"/>
          <w:color w:val="2D3748"/>
          <w:sz w:val="19"/>
        </w:rPr>
        <w:t>Ejecute la interfaz de usuario monolítica desde la terminal para inicializar el backend gráfico del sistema:</w:t>
        <w:br/>
        <w:br/>
        <w:t>python Rec.py</w:t>
        <w:br/>
        <w:br/>
        <w:t>Operaciones obligatorias dentro del panel de control de la UI:</w:t>
        <w:br/>
        <w:t>- Diríjase a la pestaña 'Camaras' y pulse 'Detectar camaras'.</w:t>
        <w:br/>
        <w:t>- Asigne las fuentes de forma explícita a los slots gráficos correspondientes.</w:t>
        <w:br/>
        <w:t>- Ingrese primero la etiqueta 'fondo_vacio' para las capturas de control y luego 'objeto_a' para el objetivo bajo análisis.</w:t>
        <w:br/>
        <w:t>- Pulse 'Iniciar captura'.</w:t>
      </w:r>
    </w:p>
    <w:p>
      <w:pPr>
        <w:keepNext/>
        <w:spacing w:before="320" w:after="120"/>
      </w:pPr>
      <w:r>
        <w:rPr>
          <w:rFonts w:ascii="Arial" w:hAnsi="Arial"/>
          <w:b/>
          <w:i w:val="0"/>
          <w:color w:val="2C5282"/>
          <w:sz w:val="23"/>
        </w:rPr>
        <w:t>Paso 3: Ejecución del Script de Partición e Integridad Estadística</w:t>
      </w:r>
    </w:p>
    <w:p>
      <w:pPr>
        <w:spacing w:line="276" w:lineRule="auto" w:after="160"/>
      </w:pPr>
      <w:r>
        <w:rPr>
          <w:rFonts w:ascii="Arial" w:hAnsi="Arial"/>
          <w:b w:val="0"/>
          <w:i w:val="0"/>
          <w:color w:val="2D3748"/>
          <w:sz w:val="19"/>
        </w:rPr>
        <w:t>Una vez recolectadas suficientes imágenes crudas (mínimo sugerido de 200 disparos coordinados por clase), ejecute el particionador estadístico de grupos atómicos:</w:t>
        <w:br/>
        <w:br/>
        <w:t>python organizar_dataset.py --dataset "dataset" --salida "dataset_final" --seed 42</w:t>
      </w:r>
    </w:p>
    <w:p>
      <w:pPr>
        <w:keepNext/>
        <w:spacing w:before="320" w:after="120"/>
      </w:pPr>
      <w:r>
        <w:rPr>
          <w:rFonts w:ascii="Arial" w:hAnsi="Arial"/>
          <w:b/>
          <w:i w:val="0"/>
          <w:color w:val="2C5282"/>
          <w:sz w:val="23"/>
        </w:rPr>
        <w:t>Paso 4: Equilibrado Matemático de la Partición de Entrenamiento</w:t>
      </w:r>
    </w:p>
    <w:p>
      <w:pPr>
        <w:spacing w:line="276" w:lineRule="auto" w:after="160"/>
      </w:pPr>
      <w:r>
        <w:rPr>
          <w:rFonts w:ascii="Arial" w:hAnsi="Arial"/>
          <w:b w:val="0"/>
          <w:i w:val="0"/>
          <w:color w:val="2D3748"/>
          <w:sz w:val="19"/>
        </w:rPr>
        <w:t>Si se capturaron más imágenes de fondo que de objeto, proceda a ejecutar el balanceador estocástico para neutralizar desviaciones estadísticas en el entrenamiento:</w:t>
        <w:br/>
        <w:br/>
        <w:t>python balancear_dataset.py</w:t>
      </w:r>
    </w:p>
    <w:p>
      <w:pPr>
        <w:keepNext/>
        <w:spacing w:before="320" w:after="120"/>
      </w:pPr>
      <w:r>
        <w:rPr>
          <w:rFonts w:ascii="Arial" w:hAnsi="Arial"/>
          <w:b/>
          <w:i w:val="0"/>
          <w:color w:val="2C5282"/>
          <w:sz w:val="23"/>
        </w:rPr>
        <w:t>Paso 5: Entrenamiento del Modelo e Inferencia de Pesos Core</w:t>
      </w:r>
    </w:p>
    <w:p>
      <w:pPr>
        <w:spacing w:line="276" w:lineRule="auto" w:after="160"/>
      </w:pPr>
      <w:r>
        <w:rPr>
          <w:rFonts w:ascii="Arial" w:hAnsi="Arial"/>
          <w:b w:val="0"/>
          <w:i w:val="0"/>
          <w:color w:val="2D3748"/>
          <w:sz w:val="19"/>
        </w:rPr>
        <w:t>Suba la carpeta completa consolidada dataset_final a su almacenamiento en la nube de Google Drive como un archivo zip.</w:t>
        <w:br/>
        <w:t>- Abra entrenamiento.ipynb en Google Colab y active el entorno con GPU/TPU.</w:t>
        <w:br/>
        <w:t>- Ejecute secuencialmente las celdas de código. El notebook normalizará los píxeles y entrenará la arquitectura convolucional.</w:t>
        <w:br/>
        <w:t>- Descargue el archivo resultante 'modelo_buho_v1.h5' y ubíquelo dentro de la carpeta local 'modelos/'.</w:t>
      </w:r>
    </w:p>
    <w:p>
      <w:pPr>
        <w:keepNext/>
        <w:spacing w:before="320" w:after="120"/>
      </w:pPr>
      <w:r>
        <w:rPr>
          <w:rFonts w:ascii="Arial" w:hAnsi="Arial"/>
          <w:b/>
          <w:i w:val="0"/>
          <w:color w:val="2C5282"/>
          <w:sz w:val="23"/>
        </w:rPr>
        <w:t>Paso 6: Inferencia Predictiva y Despliegue en Tiempo Real</w:t>
      </w:r>
    </w:p>
    <w:p>
      <w:pPr>
        <w:spacing w:line="276" w:lineRule="auto" w:after="160"/>
      </w:pPr>
      <w:r>
        <w:rPr>
          <w:rFonts w:ascii="Arial" w:hAnsi="Arial"/>
          <w:b w:val="0"/>
          <w:i w:val="0"/>
          <w:color w:val="2D3748"/>
          <w:sz w:val="19"/>
        </w:rPr>
        <w:t>Para cerrar el flujo de desarrollo del ecosistema y visualizar los resultados en tiempo real, ejecute la interfaz local nuevamente:</w:t>
        <w:br/>
        <w:br/>
        <w:t>python Rec.py</w:t>
        <w:br/>
        <w:br/>
        <w:t>Activación del Módulo de Inteligencia Artificial:</w:t>
        <w:br/>
        <w:t>1. Navegue hacia la pestaña 'Prediccion IA'.</w:t>
        <w:br/>
        <w:t>2. Haga clic en 'Seleccionar modelo .h5' y cargue el binario consolidado.</w:t>
        <w:br/>
        <w:t>3. Presione 'Iniciar deteccion'.</w:t>
      </w:r>
    </w:p>
    <w:tbl>
      <w:tblPr>
        <w:tblW w:type="auto" w:w="0"/>
        <w:tblLayout w:type="fixed"/>
        <w:tblLook w:firstColumn="1" w:firstRow="1" w:lastColumn="0" w:lastRow="0" w:noHBand="0" w:noVBand="1" w:val="04A0"/>
        <w:tblBorders>
          <w:left w:val="single" w:sz="32" w:space="0" w:color="EA580C"/>
        </w:tblBorders>
      </w:tblPr>
      <w:tblGrid>
        <w:gridCol w:w="10181"/>
      </w:tblGrid>
      <w:tr>
        <w:tc>
          <w:tcPr>
            <w:tcW w:type="dxa" w:w="10181"/>
            <w:shd w:fill="FFEDD5"/>
            <w:tcMar>
              <w:top w:w="144" w:type="dxa"/>
              <w:bottom w:w="144" w:type="dxa"/>
              <w:left w:w="144" w:type="dxa"/>
              <w:right w:w="144" w:type="dxa"/>
            </w:tcMar>
          </w:tcPr>
          <w:p>
            <w:pPr>
              <w:spacing w:before="0" w:after="80"/>
            </w:pPr>
            <w:r>
              <w:rPr>
                <w:rFonts w:ascii="Arial" w:hAnsi="Arial"/>
                <w:b/>
                <w:i w:val="0"/>
                <w:color w:val="C2410C"/>
                <w:sz w:val="20"/>
              </w:rPr>
              <w:t>Nota Importante de Despliegue</w:t>
            </w:r>
          </w:p>
          <w:p>
            <w:pPr>
              <w:spacing w:before="0" w:after="0" w:line="276" w:lineRule="auto"/>
            </w:pPr>
            <w:r>
              <w:rPr>
                <w:rFonts w:ascii="Arial" w:hAnsi="Arial"/>
                <w:b w:val="0"/>
                <w:i w:val="0"/>
                <w:color w:val="2D3748"/>
                <w:sz w:val="19"/>
              </w:rPr>
              <w:t>El sistema inicializará hilos asíncronos en segundo plano encargados de inyectar el feed continuo de video directamente en el backend de TensorFlow. Los fotogramas entrantes se preprocesarán a las dimensiones exactas requeridas por la red, desplegando inmediatamente sobre el canvas la etiqueta predictiva calculada junto a su porcentaje matemático de certeza.</w:t>
            </w:r>
          </w:p>
        </w:tc>
      </w:tr>
    </w:tbl>
    <w:sectPr w:rsidR="00FC693F" w:rsidRPr="0006063C" w:rsidSect="00034616">
      <w:pgSz w:w="11909" w:h="16834"/>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