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2D3436"/>
          <w:sz w:val="52"/>
          <w:szCs w:val="52"/>
        </w:rPr>
        <w:t xml:space="preserve">ONE JOB</w:t>
      </w:r>
    </w:p>
    <w:p>
      <w:pPr>
        <w:spacing w:after="60" w:before="0" w:line="280"/>
        <w:jc w:val="left"/>
      </w:pPr>
      <w:r>
        <w:rPr>
          <w:rFonts w:ascii="Georgia" w:cs="Georgia" w:eastAsia="Georgia" w:hAnsi="Georgia"/>
          <w:color w:val="74787C"/>
          <w:sz w:val="24"/>
          <w:szCs w:val="24"/>
        </w:rPr>
        <w:t xml:space="preserve">Investor reference — the material behind the deck</w:t>
      </w:r>
    </w:p>
    <w:p>
      <w:pPr>
        <w:spacing w:after="260" w:before="0" w:line="280"/>
        <w:jc w:val="left"/>
      </w:pPr>
      <w:r>
        <w:rPr>
          <w:rFonts w:ascii="Calibri" w:cs="Calibri" w:eastAsia="Calibri" w:hAnsi="Calibri"/>
          <w:color w:val="74787C"/>
          <w:sz w:val="18"/>
          <w:szCs w:val="18"/>
        </w:rPr>
        <w:t xml:space="preserve">Christian Crumlish  ·  xian@designinproduct.com  ·  onejob.co  ·  26 August 2026</w:t>
      </w:r>
    </w:p>
    <w:p>
      <w:pPr>
        <w:pBdr>
          <w:left w:val="single" w:color="F35343" w:sz="18" w:space="10"/>
        </w:pBdr>
        <w:shd w:fill="F4F1F0" w:val="clear"/>
        <w:spacing w:after="200" w:before="160" w:line="280"/>
        <w:ind w:left="172" w:right="172"/>
      </w:pPr>
      <w:r>
        <w:rPr>
          <w:rFonts w:ascii="Calibri" w:cs="Calibri" w:eastAsia="Calibri" w:hAnsi="Calibri"/>
          <w:b/>
          <w:bCs/>
          <w:color w:val="2D3436"/>
          <w:sz w:val="21"/>
          <w:szCs w:val="21"/>
        </w:rPr>
        <w:t xml:space="preserve">What this document is</w:t>
      </w:r>
      <w:r>
        <w:br/>
      </w:r>
      <w:r>
        <w:rPr>
          <w:rFonts w:ascii="Calibri" w:cs="Calibri" w:eastAsia="Calibri" w:hAnsi="Calibri"/>
          <w:color w:val="2D3436"/>
          <w:sz w:val="21"/>
          <w:szCs w:val="21"/>
        </w:rPr>
        <w:t xml:space="preserve">The deck makes the case. This makes the case checkable. Everything here is sourced, and the sections that argue against us are here on purpose — a founder who has already found the holes in his own story is easier to diligence than one who hasn't looked.</w:t>
      </w:r>
    </w:p>
    <w:p>
      <w:pPr>
        <w:pStyle w:val="Heading1"/>
        <w:pBdr>
          <w:bottom w:val="single" w:color="F35343" w:sz="12" w:space="6"/>
        </w:pBdr>
        <w:spacing w:after="60" w:before="380"/>
      </w:pPr>
      <w:r>
        <w:rPr>
          <w:rFonts w:ascii="Georgia" w:cs="Georgia" w:eastAsia="Georgia" w:hAnsi="Georgia"/>
          <w:b/>
          <w:bCs/>
          <w:color w:val="2D3436"/>
          <w:sz w:val="30"/>
          <w:szCs w:val="30"/>
        </w:rPr>
        <w:t xml:space="preserve">The ask, in one paragraph</w:t>
      </w:r>
    </w:p>
    <w:p>
      <w:pPr>
        <w:spacing w:after="140" w:before="0" w:line="280"/>
        <w:jc w:val="left"/>
      </w:pPr>
      <w:r>
        <w:rPr>
          <w:rFonts w:ascii="Calibri" w:cs="Calibri" w:eastAsia="Calibri" w:hAnsi="Calibri"/>
          <w:color w:val="2D3436"/>
          <w:sz w:val="21"/>
          <w:szCs w:val="21"/>
        </w:rPr>
        <w:t xml:space="preserve">One Job is raising $750K pre-seed to ship 1.0 to both app stores, earn a first paying cohort, and build the human end of a protocol that shipped four weeks ago. The product is built, live on the web, and on TestFlight; the raise is scheduled to follow store launch and first real usage data, not precede it. The founder is a career product leader — Gov. Newsom appointee at California's Office of Data and Innovation, product lead for covid19.ca.gov, head of the Product chapter at 18F, four published books on product and design.</w:t>
      </w:r>
    </w:p>
    <w:p>
      <w:pPr>
        <w:pStyle w:val="Heading1"/>
        <w:pBdr>
          <w:bottom w:val="single" w:color="F35343" w:sz="12" w:space="6"/>
        </w:pBdr>
        <w:spacing w:after="60" w:before="380"/>
      </w:pPr>
      <w:r>
        <w:rPr>
          <w:rFonts w:ascii="Georgia" w:cs="Georgia" w:eastAsia="Georgia" w:hAnsi="Georgia"/>
          <w:b/>
          <w:bCs/>
          <w:color w:val="2D3436"/>
          <w:sz w:val="30"/>
          <w:szCs w:val="30"/>
        </w:rPr>
        <w:t xml:space="preserve">The product</w:t>
      </w:r>
    </w:p>
    <w:p>
      <w:pPr>
        <w:spacing w:after="140" w:before="0" w:line="280"/>
        <w:jc w:val="left"/>
      </w:pPr>
      <w:r>
        <w:rPr>
          <w:rFonts w:ascii="Calibri" w:cs="Calibri" w:eastAsia="Calibri" w:hAnsi="Calibri"/>
          <w:color w:val="2D3436"/>
          <w:sz w:val="21"/>
          <w:szCs w:val="21"/>
        </w:rPr>
        <w:t xml:space="preserve">One Job turns a to-do list into a deck of cards. You see exactly one task. Swipe right to complete it; swipe left and it drops to the bottom while the next card comes up. Every card's interior is another deck, so subtasks work identically at any depth. Data lives on the device — no account, no analytics, no tracking, works offline.</w:t>
      </w:r>
    </w:p>
    <w:p>
      <w:pPr>
        <w:spacing w:after="40" w:before="200"/>
      </w:pPr>
      <w:r>
        <w:rPr>
          <w:rFonts w:ascii="Calibri" w:cs="Calibri" w:eastAsia="Calibri" w:hAnsi="Calibri"/>
          <w:b/>
          <w:bCs/>
          <w:color w:val="F35343"/>
          <w:spacing w:val="30"/>
          <w:sz w:val="16"/>
          <w:szCs w:val="16"/>
        </w:rPr>
        <w:t xml:space="preserve">SHIPPED AND VERIFIABLE TODAY</w:t>
      </w:r>
    </w:p>
    <w:p>
      <w:pPr>
        <w:pStyle w:val="ListParagraph"/>
        <w:numPr>
          <w:ilvl w:val="0"/>
          <w:numId w:val="2"/>
        </w:numPr>
        <w:spacing w:after="90" w:line="280"/>
      </w:pPr>
      <w:r>
        <w:rPr>
          <w:rFonts w:ascii="Calibri" w:cs="Calibri" w:eastAsia="Calibri" w:hAnsi="Calibri"/>
          <w:color w:val="2D3436"/>
          <w:sz w:val="21"/>
          <w:szCs w:val="21"/>
        </w:rPr>
        <w:t xml:space="preserve">Progressive web app live at onejob.co/app; installable to the home screen</w:t>
      </w:r>
    </w:p>
    <w:p>
      <w:pPr>
        <w:pStyle w:val="ListParagraph"/>
        <w:numPr>
          <w:ilvl w:val="0"/>
          <w:numId w:val="2"/>
        </w:numPr>
        <w:spacing w:after="90" w:line="280"/>
      </w:pPr>
      <w:r>
        <w:rPr>
          <w:rFonts w:ascii="Calibri" w:cs="Calibri" w:eastAsia="Calibri" w:hAnsi="Calibri"/>
          <w:color w:val="2D3436"/>
          <w:sz w:val="21"/>
          <w:szCs w:val="21"/>
        </w:rPr>
        <w:t xml:space="preserve">iOS build 32 on TestFlight; App Store submission prepared, blocked on one open service-worker bug</w:t>
      </w:r>
    </w:p>
    <w:p>
      <w:pPr>
        <w:pStyle w:val="ListParagraph"/>
        <w:numPr>
          <w:ilvl w:val="0"/>
          <w:numId w:val="2"/>
        </w:numPr>
        <w:spacing w:after="90" w:line="280"/>
      </w:pPr>
      <w:r>
        <w:rPr>
          <w:rFonts w:ascii="Calibri" w:cs="Calibri" w:eastAsia="Calibri" w:hAnsi="Calibri"/>
          <w:color w:val="2D3436"/>
          <w:sz w:val="21"/>
          <w:szCs w:val="21"/>
        </w:rPr>
        <w:t xml:space="preserve">Recursive card interiors, the Done → Archive → Trash lifecycle chain, undo, multi-deck canvas</w:t>
      </w:r>
    </w:p>
    <w:p>
      <w:pPr>
        <w:pStyle w:val="ListParagraph"/>
        <w:numPr>
          <w:ilvl w:val="0"/>
          <w:numId w:val="2"/>
        </w:numPr>
        <w:spacing w:after="90" w:line="280"/>
      </w:pPr>
      <w:r>
        <w:rPr>
          <w:rFonts w:ascii="Calibri" w:cs="Calibri" w:eastAsia="Calibri" w:hAnsi="Calibri"/>
          <w:color w:val="2D3436"/>
          <w:sz w:val="21"/>
          <w:szCs w:val="21"/>
        </w:rPr>
        <w:t xml:space="preserve">Backup and restore verified by observation on a real device — see the incident record</w:t>
      </w:r>
    </w:p>
    <w:p>
      <w:pPr>
        <w:pStyle w:val="ListParagraph"/>
        <w:numPr>
          <w:ilvl w:val="0"/>
          <w:numId w:val="2"/>
        </w:numPr>
        <w:spacing w:after="90" w:line="280"/>
      </w:pPr>
      <w:r>
        <w:rPr>
          <w:rFonts w:ascii="Calibri" w:cs="Calibri" w:eastAsia="Calibri" w:hAnsi="Calibri"/>
          <w:color w:val="2D3436"/>
          <w:sz w:val="21"/>
          <w:szCs w:val="21"/>
        </w:rPr>
        <w:t xml:space="preserve">GitHub issue import (beta, and honestly not good yet — it imports every assigned issue across all repos)</w:t>
      </w:r>
    </w:p>
    <w:p>
      <w:pPr>
        <w:pStyle w:val="Heading1"/>
        <w:pBdr>
          <w:bottom w:val="single" w:color="F35343" w:sz="12" w:space="6"/>
        </w:pBdr>
        <w:spacing w:after="60" w:before="380"/>
      </w:pPr>
      <w:r>
        <w:rPr>
          <w:rFonts w:ascii="Georgia" w:cs="Georgia" w:eastAsia="Georgia" w:hAnsi="Georgia"/>
          <w:b/>
          <w:bCs/>
          <w:color w:val="2D3436"/>
          <w:sz w:val="30"/>
          <w:szCs w:val="30"/>
        </w:rPr>
        <w:t xml:space="preserve">The thesis, in three legs</w:t>
      </w:r>
    </w:p>
    <w:p>
      <w:pPr>
        <w:spacing w:after="140" w:before="0" w:line="280"/>
        <w:jc w:val="left"/>
      </w:pPr>
      <w:r>
        <w:rPr>
          <w:rFonts w:ascii="Calibri" w:cs="Calibri" w:eastAsia="Calibri" w:hAnsi="Calibri"/>
          <w:color w:val="2D3436"/>
          <w:sz w:val="21"/>
          <w:szCs w:val="21"/>
        </w:rPr>
        <w:t xml:space="preserve">One Job does not compete with task databases. It faces them.</w:t>
      </w:r>
    </w:p>
    <w:tbl>
      <w:tblPr>
        <w:tblW w:type="dxa" w:w="8600"/>
        <w:tblBorders>
          <w:top w:val="single" w:color="D3D9DF" w:sz="4"/>
          <w:left w:val="none" w:color="FFFFFF" w:sz="0"/>
          <w:bottom w:val="single" w:color="D3D9DF" w:sz="4"/>
          <w:right w:val="none" w:color="FFFFFF" w:sz="0"/>
          <w:insideH w:val="single" w:color="D3D9DF" w:sz="4"/>
          <w:insideV w:val="none" w:color="FFFFFF" w:sz="0"/>
        </w:tblBorders>
      </w:tblPr>
      <w:tblGrid>
        <w:gridCol w:w="1300"/>
        <w:gridCol w:w="5700"/>
        <w:gridCol w:w="1600"/>
      </w:tblGrid>
      <w:tr>
        <w:trPr>
          <w:tblHeader/>
        </w:trPr>
        <w:tc>
          <w:tcPr>
            <w:tcW w:type="dxa" w:w="1300"/>
            <w:shd w:fill="F4F5F6" w:val="clear"/>
            <w:tcMar>
              <w:top w:type="dxa" w:w="90"/>
              <w:left w:type="dxa" w:w="110"/>
              <w:bottom w:type="dxa" w:w="90"/>
              <w:right w:type="dxa" w:w="110"/>
            </w:tcMar>
          </w:tcPr>
          <w:p>
            <w:pPr>
              <w:spacing w:after="0" w:line="250"/>
            </w:pPr>
            <w:r>
              <w:rPr>
                <w:rFonts w:ascii="Calibri" w:cs="Calibri" w:eastAsia="Calibri" w:hAnsi="Calibri"/>
                <w:b/>
                <w:bCs/>
                <w:color w:val="74787C"/>
                <w:sz w:val="17"/>
                <w:szCs w:val="17"/>
              </w:rPr>
              <w:t xml:space="preserve">Leg</w:t>
            </w:r>
          </w:p>
        </w:tc>
        <w:tc>
          <w:tcPr>
            <w:tcW w:type="dxa" w:w="5700"/>
            <w:shd w:fill="F4F5F6" w:val="clear"/>
            <w:tcMar>
              <w:top w:type="dxa" w:w="90"/>
              <w:left w:type="dxa" w:w="110"/>
              <w:bottom w:type="dxa" w:w="90"/>
              <w:right w:type="dxa" w:w="110"/>
            </w:tcMar>
          </w:tcPr>
          <w:p>
            <w:pPr>
              <w:spacing w:after="0" w:line="250"/>
            </w:pPr>
            <w:r>
              <w:rPr>
                <w:rFonts w:ascii="Calibri" w:cs="Calibri" w:eastAsia="Calibri" w:hAnsi="Calibri"/>
                <w:b/>
                <w:bCs/>
                <w:color w:val="74787C"/>
                <w:sz w:val="17"/>
                <w:szCs w:val="17"/>
              </w:rPr>
              <w:t xml:space="preserve">What it is</w:t>
            </w:r>
          </w:p>
        </w:tc>
        <w:tc>
          <w:tcPr>
            <w:tcW w:type="dxa" w:w="1600"/>
            <w:shd w:fill="F4F5F6" w:val="clear"/>
            <w:tcMar>
              <w:top w:type="dxa" w:w="90"/>
              <w:left w:type="dxa" w:w="110"/>
              <w:bottom w:type="dxa" w:w="90"/>
              <w:right w:type="dxa" w:w="110"/>
            </w:tcMar>
          </w:tcPr>
          <w:p>
            <w:pPr>
              <w:spacing w:after="0" w:line="250"/>
            </w:pPr>
            <w:r>
              <w:rPr>
                <w:rFonts w:ascii="Calibri" w:cs="Calibri" w:eastAsia="Calibri" w:hAnsi="Calibri"/>
                <w:b/>
                <w:bCs/>
                <w:color w:val="74787C"/>
                <w:sz w:val="17"/>
                <w:szCs w:val="17"/>
              </w:rPr>
              <w:t xml:space="preserve">Status</w:t>
            </w:r>
          </w:p>
        </w:tc>
      </w:tr>
      <w:tr>
        <w:tc>
          <w:tcPr>
            <w:tcW w:type="dxa" w:w="13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1 · The lens</w:t>
            </w:r>
          </w:p>
        </w:tc>
        <w:tc>
          <w:tcPr>
            <w:tcW w:type="dxa" w:w="57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A surface over the task systems people already use — Asana, Jira, Linear, Todoist — with two-way sync, where the user's own ordering and card interiors survive as a personal overlay that sync never flattens.</w:t>
            </w:r>
          </w:p>
        </w:tc>
        <w:tc>
          <w:tcPr>
            <w:tcW w:type="dxa" w:w="16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Designed, not built</w:t>
            </w:r>
          </w:p>
        </w:tc>
      </w:tr>
      <w:tr>
        <w:tc>
          <w:tcPr>
            <w:tcW w:type="dxa" w:w="13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2 · The channel</w:t>
            </w:r>
          </w:p>
        </w:tc>
        <w:tc>
          <w:tcPr>
            <w:tcW w:type="dxa" w:w="57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A bidirectional queue between humans and agents. Agents deal cards in when they need a person; the person deals cards back when they'd rather delegate. Completion flows both ways with provenance attached.</w:t>
            </w:r>
          </w:p>
        </w:tc>
        <w:tc>
          <w:tcPr>
            <w:tcW w:type="dxa" w:w="16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The venture case</w:t>
            </w:r>
          </w:p>
        </w:tc>
      </w:tr>
      <w:tr>
        <w:tc>
          <w:tcPr>
            <w:tcW w:type="dxa" w:w="13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3 · Derivation</w:t>
            </w:r>
          </w:p>
        </w:tc>
        <w:tc>
          <w:tcPr>
            <w:tcW w:type="dxa" w:w="57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Turning unstructured content — mail, transcripts, documents — into cards.</w:t>
            </w:r>
          </w:p>
        </w:tc>
        <w:tc>
          <w:tcPr>
            <w:tcW w:type="dxa" w:w="16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A feature, not a moat</w:t>
            </w:r>
          </w:p>
        </w:tc>
      </w:tr>
    </w:tbl>
    <w:p>
      <w:pPr>
        <w:spacing w:after="120" w:before="0" w:line="280"/>
        <w:jc w:val="left"/>
      </w:pPr>
      <w:r>
        <w:rPr>
          <w:rFonts w:ascii="Calibri" w:cs="Calibri" w:eastAsia="Calibri" w:hAnsi="Calibri"/>
          <w:color w:val="2D3436"/>
          <w:sz w:val="21"/>
          <w:szCs w:val="21"/>
        </w:rPr>
        <w:t xml:space="preserve"/>
      </w:r>
    </w:p>
    <w:p>
      <w:pPr>
        <w:pBdr>
          <w:left w:val="single" w:color="F35343" w:sz="18" w:space="10"/>
        </w:pBdr>
        <w:shd w:fill="F4F1F0" w:val="clear"/>
        <w:spacing w:after="200" w:before="160" w:line="280"/>
        <w:ind w:left="172" w:right="172"/>
      </w:pPr>
      <w:r>
        <w:rPr>
          <w:rFonts w:ascii="Calibri" w:cs="Calibri" w:eastAsia="Calibri" w:hAnsi="Calibri"/>
          <w:b/>
          <w:bCs/>
          <w:color w:val="2D3436"/>
          <w:sz w:val="21"/>
          <w:szCs w:val="21"/>
        </w:rPr>
        <w:t xml:space="preserve">Stated plainly: leg 3 is not a differentiator.</w:t>
      </w:r>
      <w:r>
        <w:br/>
      </w:r>
      <w:r>
        <w:rPr>
          <w:rFonts w:ascii="Calibri" w:cs="Calibri" w:eastAsia="Calibri" w:hAnsi="Calibri"/>
          <w:color w:val="2D3436"/>
          <w:sz w:val="21"/>
          <w:szCs w:val="21"/>
        </w:rPr>
        <w:t xml:space="preserve">Granola raised $125M at $1.5B and is moving away from extraction toward being the context layer, precisely because extraction commoditized. Every model vendor ships it. It helps conversion; it will not defend anything. Leg 1 has a proven ceiling in consumer form. Leg 2 is the one with a venture outcome in it, and the deck is built around leg 2 for that reason.</w:t>
      </w:r>
    </w:p>
    <w:p>
      <w:pPr>
        <w:pStyle w:val="Heading1"/>
        <w:pBdr>
          <w:bottom w:val="single" w:color="F35343" w:sz="12" w:space="6"/>
        </w:pBdr>
        <w:spacing w:after="60" w:before="380"/>
      </w:pPr>
      <w:r>
        <w:rPr>
          <w:rFonts w:ascii="Georgia" w:cs="Georgia" w:eastAsia="Georgia" w:hAnsi="Georgia"/>
          <w:b/>
          <w:bCs/>
          <w:color w:val="2D3436"/>
          <w:sz w:val="30"/>
          <w:szCs w:val="30"/>
        </w:rPr>
        <w:t xml:space="preserve">Why now — the dateable catalyst</w:t>
      </w:r>
    </w:p>
    <w:p>
      <w:pPr>
        <w:spacing w:after="140" w:before="0" w:line="280"/>
        <w:jc w:val="left"/>
      </w:pPr>
      <w:r>
        <w:rPr>
          <w:rFonts w:ascii="Calibri" w:cs="Calibri" w:eastAsia="Calibri" w:hAnsi="Calibri"/>
          <w:color w:val="2D3436"/>
          <w:sz w:val="21"/>
          <w:szCs w:val="21"/>
        </w:rPr>
        <w:t xml:space="preserve">The pitch framework demands a specific, dateable external event rather than a trend. There is one.</w:t>
      </w:r>
    </w:p>
    <w:tbl>
      <w:tblPr>
        <w:tblW w:type="dxa" w:w="8600"/>
        <w:tblBorders>
          <w:top w:val="single" w:color="D3D9DF" w:sz="4"/>
          <w:left w:val="none" w:color="FFFFFF" w:sz="0"/>
          <w:bottom w:val="single" w:color="D3D9DF" w:sz="4"/>
          <w:right w:val="none" w:color="FFFFFF" w:sz="0"/>
          <w:insideH w:val="single" w:color="D3D9DF" w:sz="4"/>
          <w:insideV w:val="none" w:color="FFFFFF" w:sz="0"/>
        </w:tblBorders>
      </w:tblPr>
      <w:tblGrid>
        <w:gridCol w:w="1250"/>
        <w:gridCol w:w="3600"/>
        <w:gridCol w:w="3750"/>
      </w:tblGrid>
      <w:tr>
        <w:trPr>
          <w:tblHeader/>
        </w:trPr>
        <w:tc>
          <w:tcPr>
            <w:tcW w:type="dxa" w:w="1250"/>
            <w:shd w:fill="F4F5F6" w:val="clear"/>
            <w:tcMar>
              <w:top w:type="dxa" w:w="90"/>
              <w:left w:type="dxa" w:w="110"/>
              <w:bottom w:type="dxa" w:w="90"/>
              <w:right w:type="dxa" w:w="110"/>
            </w:tcMar>
          </w:tcPr>
          <w:p>
            <w:pPr>
              <w:spacing w:after="0" w:line="250"/>
            </w:pPr>
            <w:r>
              <w:rPr>
                <w:rFonts w:ascii="Calibri" w:cs="Calibri" w:eastAsia="Calibri" w:hAnsi="Calibri"/>
                <w:b/>
                <w:bCs/>
                <w:color w:val="74787C"/>
                <w:sz w:val="17"/>
                <w:szCs w:val="17"/>
              </w:rPr>
              <w:t xml:space="preserve">Date</w:t>
            </w:r>
          </w:p>
        </w:tc>
        <w:tc>
          <w:tcPr>
            <w:tcW w:type="dxa" w:w="3600"/>
            <w:shd w:fill="F4F5F6" w:val="clear"/>
            <w:tcMar>
              <w:top w:type="dxa" w:w="90"/>
              <w:left w:type="dxa" w:w="110"/>
              <w:bottom w:type="dxa" w:w="90"/>
              <w:right w:type="dxa" w:w="110"/>
            </w:tcMar>
          </w:tcPr>
          <w:p>
            <w:pPr>
              <w:spacing w:after="0" w:line="250"/>
            </w:pPr>
            <w:r>
              <w:rPr>
                <w:rFonts w:ascii="Calibri" w:cs="Calibri" w:eastAsia="Calibri" w:hAnsi="Calibri"/>
                <w:b/>
                <w:bCs/>
                <w:color w:val="74787C"/>
                <w:sz w:val="17"/>
                <w:szCs w:val="17"/>
              </w:rPr>
              <w:t xml:space="preserve">What changed</w:t>
            </w:r>
          </w:p>
        </w:tc>
        <w:tc>
          <w:tcPr>
            <w:tcW w:type="dxa" w:w="3750"/>
            <w:shd w:fill="F4F5F6" w:val="clear"/>
            <w:tcMar>
              <w:top w:type="dxa" w:w="90"/>
              <w:left w:type="dxa" w:w="110"/>
              <w:bottom w:type="dxa" w:w="90"/>
              <w:right w:type="dxa" w:w="110"/>
            </w:tcMar>
          </w:tcPr>
          <w:p>
            <w:pPr>
              <w:spacing w:after="0" w:line="250"/>
            </w:pPr>
            <w:r>
              <w:rPr>
                <w:rFonts w:ascii="Calibri" w:cs="Calibri" w:eastAsia="Calibri" w:hAnsi="Calibri"/>
                <w:b/>
                <w:bCs/>
                <w:color w:val="74787C"/>
                <w:sz w:val="17"/>
                <w:szCs w:val="17"/>
              </w:rPr>
              <w:t xml:space="preserve">Why it wasn't enough / why it is now</w:t>
            </w:r>
          </w:p>
        </w:tc>
      </w:tr>
      <w:tr>
        <w:tc>
          <w:tcPr>
            <w:tcW w:type="dxa" w:w="125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2025-06-18</w:t>
            </w:r>
          </w:p>
        </w:tc>
        <w:tc>
          <w:tcPr>
            <w:tcW w:type="dxa" w:w="36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MCP adds elicitation — a server can ask the client for user input.</w:t>
            </w:r>
          </w:p>
        </w:tc>
        <w:tc>
          <w:tcPr>
            <w:tcW w:type="dxa" w:w="375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Synchronous and connection-bound. The server holds the socket open. Unusable from a phone.</w:t>
            </w:r>
          </w:p>
        </w:tc>
      </w:tr>
      <w:tr>
        <w:tc>
          <w:tcPr>
            <w:tcW w:type="dxa" w:w="125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2025-12-09</w:t>
            </w:r>
          </w:p>
        </w:tc>
        <w:tc>
          <w:tcPr>
            <w:tcW w:type="dxa" w:w="36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Anthropic donates MCP to the Agentic AI Foundation (Linux Foundation), co-founded with Block and OpenAI.</w:t>
            </w:r>
          </w:p>
        </w:tc>
        <w:tc>
          <w:tcPr>
            <w:tcW w:type="dxa" w:w="375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Removes the single-vendor objection. Building on it is no longer a bet on one model company.</w:t>
            </w:r>
          </w:p>
        </w:tc>
      </w:tr>
      <w:tr>
        <w:tc>
          <w:tcPr>
            <w:tcW w:type="dxa" w:w="125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2025-11-25</w:t>
            </w:r>
          </w:p>
        </w:tc>
        <w:tc>
          <w:tcPr>
            <w:tcW w:type="dxa" w:w="36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Tasks ship as experimental — durable handles, polling, deferred results.</w:t>
            </w:r>
          </w:p>
        </w:tc>
        <w:tc>
          <w:tcPr>
            <w:tcW w:type="dxa" w:w="375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Server-to-client only. No channel for the human's answer to travel back into a running task.</w:t>
            </w:r>
          </w:p>
        </w:tc>
      </w:tr>
      <w:tr>
        <w:tc>
          <w:tcPr>
            <w:tcW w:type="dxa" w:w="125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2026-07-28</w:t>
            </w:r>
          </w:p>
        </w:tc>
        <w:tc>
          <w:tcPr>
            <w:tcW w:type="dxa" w:w="36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Tasks become an official extension: input_required status, inputRequests, and tasks/update carrying inputResponses.</w:t>
            </w:r>
          </w:p>
        </w:tc>
        <w:tc>
          <w:tcPr>
            <w:tcW w:type="dxa" w:w="375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The return channel now exists. Server-initiated requests were replaced by the Multi Round-Trip Request pattern, so every human-input interaction funnels through a durable, pollable, resumable shape.</w:t>
            </w:r>
          </w:p>
        </w:tc>
      </w:tr>
    </w:tbl>
    <w:p>
      <w:pPr>
        <w:spacing w:after="120" w:before="0" w:line="280"/>
        <w:jc w:val="left"/>
      </w:pPr>
      <w:r>
        <w:rPr>
          <w:rFonts w:ascii="Calibri" w:cs="Calibri" w:eastAsia="Calibri" w:hAnsi="Calibri"/>
          <w:color w:val="2D3436"/>
          <w:sz w:val="21"/>
          <w:szCs w:val="21"/>
        </w:rPr>
        <w:t xml:space="preserve"/>
      </w:r>
    </w:p>
    <w:p>
      <w:pPr>
        <w:spacing w:after="140" w:before="0" w:line="280"/>
        <w:jc w:val="left"/>
      </w:pPr>
      <w:r>
        <w:rPr>
          <w:rFonts w:ascii="Calibri" w:cs="Calibri" w:eastAsia="Calibri" w:hAnsi="Calibri"/>
          <w:color w:val="2D3436"/>
          <w:sz w:val="21"/>
          <w:szCs w:val="21"/>
        </w:rPr>
        <w:t xml:space="preserve">The specification's own documentation names the use cases: </w:t>
      </w:r>
      <w:r>
        <w:rPr>
          <w:rFonts w:ascii="Calibri" w:cs="Calibri" w:eastAsia="Calibri" w:hAnsi="Calibri"/>
          <w:i/>
          <w:iCs/>
          <w:color w:val="2D3436"/>
          <w:sz w:val="21"/>
          <w:szCs w:val="21"/>
        </w:rPr>
        <w:t xml:space="preserve">“Approval gates, review steps, or any operation that pauses for user confirmation”</w:t>
      </w:r>
      <w:r>
        <w:rPr>
          <w:rFonts w:ascii="Calibri" w:cs="Calibri" w:eastAsia="Calibri" w:hAnsi="Calibri"/>
          <w:color w:val="2D3436"/>
          <w:sz w:val="21"/>
          <w:szCs w:val="21"/>
        </w:rPr>
        <w:t xml:space="preserve"> and </w:t>
      </w:r>
      <w:r>
        <w:rPr>
          <w:rFonts w:ascii="Calibri" w:cs="Calibri" w:eastAsia="Calibri" w:hAnsi="Calibri"/>
          <w:i/>
          <w:iCs/>
          <w:color w:val="2D3436"/>
          <w:sz w:val="21"/>
          <w:szCs w:val="21"/>
        </w:rPr>
        <w:t xml:space="preserve">“Mobile clients, intermittent networks, or environments where connections drop. Task IDs survive disconnects.”</w:t>
      </w:r>
      <w:r>
        <w:rPr>
          <w:rFonts w:ascii="Calibri" w:cs="Calibri" w:eastAsia="Calibri" w:hAnsi="Calibri"/>
          <w:color w:val="2D3436"/>
          <w:sz w:val="21"/>
          <w:szCs w:val="21"/>
        </w:rPr>
        <w:t xml:space="preserve"> That is a deck of cards, described by a standards body. As of this writing the community client-support matrix lists eleven MCP clients and has no column for Tasks at all.</w:t>
      </w:r>
    </w:p>
    <w:p>
      <w:pPr>
        <w:spacing w:after="40" w:before="200"/>
      </w:pPr>
      <w:r>
        <w:rPr>
          <w:rFonts w:ascii="Calibri" w:cs="Calibri" w:eastAsia="Calibri" w:hAnsi="Calibri"/>
          <w:b/>
          <w:bCs/>
          <w:color w:val="F35343"/>
          <w:spacing w:val="30"/>
          <w:sz w:val="16"/>
          <w:szCs w:val="16"/>
        </w:rPr>
        <w:t xml:space="preserve">THE DEMAND SIDE, MEASURED</w:t>
      </w:r>
    </w:p>
    <w:p>
      <w:pPr>
        <w:pStyle w:val="ListParagraph"/>
        <w:numPr>
          <w:ilvl w:val="0"/>
          <w:numId w:val="2"/>
        </w:numPr>
        <w:spacing w:after="90" w:line="280"/>
      </w:pPr>
      <w:r>
        <w:rPr>
          <w:rFonts w:ascii="Calibri" w:cs="Calibri" w:eastAsia="Calibri" w:hAnsi="Calibri"/>
          <w:color w:val="2D3436"/>
          <w:sz w:val="21"/>
          <w:szCs w:val="21"/>
        </w:rPr>
        <w:t xml:space="preserve">Microsoft 2026 Work Trend Index (n=20,000 AI-using knowledge workers, 10 markets, fielded Feb–Apr 2026): 15× year-over-year growth in active agents across Microsoft 365, 18× in large enterprises — and 86% of AI users say they treat agent output as a starting point, not a final answer.</w:t>
      </w:r>
    </w:p>
    <w:p>
      <w:pPr>
        <w:pStyle w:val="ListParagraph"/>
        <w:numPr>
          <w:ilvl w:val="0"/>
          <w:numId w:val="2"/>
        </w:numPr>
        <w:spacing w:after="90" w:line="280"/>
      </w:pPr>
      <w:r>
        <w:rPr>
          <w:rFonts w:ascii="Calibri" w:cs="Calibri" w:eastAsia="Calibri" w:hAnsi="Calibri"/>
          <w:color w:val="2D3436"/>
          <w:sz w:val="21"/>
          <w:szCs w:val="21"/>
        </w:rPr>
        <w:t xml:space="preserve">MCP official registry, queried 2026-08-26: 25,075 distinct servers. First-time publications rose from 391 in January 2026 to 5,703 in the first 26 days of August.</w:t>
      </w:r>
    </w:p>
    <w:p>
      <w:pPr>
        <w:pStyle w:val="ListParagraph"/>
        <w:numPr>
          <w:ilvl w:val="0"/>
          <w:numId w:val="2"/>
        </w:numPr>
        <w:spacing w:after="90" w:line="280"/>
      </w:pPr>
      <w:r>
        <w:rPr>
          <w:rFonts w:ascii="Calibri" w:cs="Calibri" w:eastAsia="Calibri" w:hAnsi="Calibri"/>
          <w:color w:val="2D3436"/>
          <w:sz w:val="21"/>
          <w:szCs w:val="21"/>
        </w:rPr>
        <w:t xml:space="preserve">DORA, May 2026: names the cost of reviewing AI-generated output the “verification tax” and identifies it as the primary cause of the productivity J-curve.</w:t>
      </w:r>
    </w:p>
    <w:p>
      <w:pPr>
        <w:pStyle w:val="ListParagraph"/>
        <w:numPr>
          <w:ilvl w:val="0"/>
          <w:numId w:val="2"/>
        </w:numPr>
        <w:spacing w:after="90" w:line="280"/>
      </w:pPr>
      <w:r>
        <w:rPr>
          <w:rFonts w:ascii="Calibri" w:cs="Calibri" w:eastAsia="Calibri" w:hAnsi="Calibri"/>
          <w:color w:val="2D3436"/>
          <w:sz w:val="21"/>
          <w:szCs w:val="21"/>
        </w:rPr>
        <w:t xml:space="preserve">Agentic pull requests merge at 63.7–68.2% per quarter against 84–86% for human-authored PRs (220,612 closed PRs, 489 repositories) — roughly one in three agent work items rejected by a human reviewer.</w:t>
      </w:r>
    </w:p>
    <w:p>
      <w:pPr>
        <w:pStyle w:val="Heading1"/>
        <w:pBdr>
          <w:bottom w:val="single" w:color="F35343" w:sz="12" w:space="6"/>
        </w:pBdr>
        <w:spacing w:after="60" w:before="380"/>
      </w:pPr>
      <w:r>
        <w:rPr>
          <w:rFonts w:ascii="Georgia" w:cs="Georgia" w:eastAsia="Georgia" w:hAnsi="Georgia"/>
          <w:b/>
          <w:bCs/>
          <w:color w:val="2D3436"/>
          <w:sz w:val="30"/>
          <w:szCs w:val="30"/>
        </w:rPr>
        <w:t xml:space="preserve">The honest economics</w:t>
      </w:r>
    </w:p>
    <w:p>
      <w:pPr>
        <w:spacing w:after="140" w:before="0" w:line="280"/>
        <w:jc w:val="left"/>
      </w:pPr>
      <w:r>
        <w:rPr>
          <w:rFonts w:ascii="Calibri" w:cs="Calibri" w:eastAsia="Calibri" w:hAnsi="Calibri"/>
          <w:color w:val="2D3436"/>
          <w:sz w:val="21"/>
          <w:szCs w:val="21"/>
        </w:rPr>
        <w:t xml:space="preserve">This section exists because the arithmetic is unfavorable and you would find it anyway. Inputs are from RevenueCat's State of Subscription Apps 2026 (115,000+ apps, $16B revenue) and Adapty's Apple Ads benchmarks, May 2026.</w:t>
      </w:r>
    </w:p>
    <w:tbl>
      <w:tblPr>
        <w:tblW w:type="dxa" w:w="8600"/>
        <w:tblBorders>
          <w:top w:val="single" w:color="D3D9DF" w:sz="4"/>
          <w:left w:val="none" w:color="FFFFFF" w:sz="0"/>
          <w:bottom w:val="single" w:color="D3D9DF" w:sz="4"/>
          <w:right w:val="none" w:color="FFFFFF" w:sz="0"/>
          <w:insideH w:val="single" w:color="D3D9DF" w:sz="4"/>
          <w:insideV w:val="none" w:color="FFFFFF" w:sz="0"/>
        </w:tblBorders>
      </w:tblPr>
      <w:tblGrid>
        <w:gridCol w:w="5300"/>
        <w:gridCol w:w="3300"/>
      </w:tblGrid>
      <w:tr>
        <w:trPr>
          <w:tblHeader/>
        </w:trPr>
        <w:tc>
          <w:tcPr>
            <w:tcW w:type="dxa" w:w="5300"/>
            <w:shd w:fill="F4F5F6" w:val="clear"/>
            <w:tcMar>
              <w:top w:type="dxa" w:w="90"/>
              <w:left w:type="dxa" w:w="110"/>
              <w:bottom w:type="dxa" w:w="90"/>
              <w:right w:type="dxa" w:w="110"/>
            </w:tcMar>
          </w:tcPr>
          <w:p>
            <w:pPr>
              <w:spacing w:after="0" w:line="250"/>
            </w:pPr>
            <w:r>
              <w:rPr>
                <w:rFonts w:ascii="Calibri" w:cs="Calibri" w:eastAsia="Calibri" w:hAnsi="Calibri"/>
                <w:b/>
                <w:bCs/>
                <w:color w:val="74787C"/>
                <w:sz w:val="17"/>
                <w:szCs w:val="17"/>
              </w:rPr>
              <w:t xml:space="preserve">Input</w:t>
            </w:r>
          </w:p>
        </w:tc>
        <w:tc>
          <w:tcPr>
            <w:tcW w:type="dxa" w:w="3300"/>
            <w:shd w:fill="F4F5F6" w:val="clear"/>
            <w:tcMar>
              <w:top w:type="dxa" w:w="90"/>
              <w:left w:type="dxa" w:w="110"/>
              <w:bottom w:type="dxa" w:w="90"/>
              <w:right w:type="dxa" w:w="110"/>
            </w:tcMar>
          </w:tcPr>
          <w:p>
            <w:pPr>
              <w:spacing w:after="0" w:line="250"/>
            </w:pPr>
            <w:r>
              <w:rPr>
                <w:rFonts w:ascii="Calibri" w:cs="Calibri" w:eastAsia="Calibri" w:hAnsi="Calibri"/>
                <w:b/>
                <w:bCs/>
                <w:color w:val="74787C"/>
                <w:sz w:val="17"/>
                <w:szCs w:val="17"/>
              </w:rPr>
              <w:t xml:space="preserve">Value</w:t>
            </w:r>
          </w:p>
        </w:tc>
      </w:tr>
      <w:tr>
        <w:tc>
          <w:tcPr>
            <w:tcW w:type="dxa" w:w="53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Freemium install-to-paid conversion, median (D35)</w:t>
            </w:r>
          </w:p>
        </w:tc>
        <w:tc>
          <w:tcPr>
            <w:tcW w:type="dxa" w:w="33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2.1%</w:t>
            </w:r>
          </w:p>
        </w:tc>
      </w:tr>
      <w:tr>
        <w:tc>
          <w:tcPr>
            <w:tcW w:type="dxa" w:w="53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Year-1 LTV per payer, low-priced apps</w:t>
            </w:r>
          </w:p>
        </w:tc>
        <w:tc>
          <w:tcPr>
            <w:tcW w:type="dxa" w:w="33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$10.69  (high-priced: $62.19)</w:t>
            </w:r>
          </w:p>
        </w:tc>
      </w:tr>
      <w:tr>
        <w:tc>
          <w:tcPr>
            <w:tcW w:type="dxa" w:w="53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Year-1 churn, annual subscriptions</w:t>
            </w:r>
          </w:p>
        </w:tc>
        <w:tc>
          <w:tcPr>
            <w:tcW w:type="dxa" w:w="33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~72%, worsened from ~56%</w:t>
            </w:r>
          </w:p>
        </w:tc>
      </w:tr>
      <w:tr>
        <w:tc>
          <w:tcPr>
            <w:tcW w:type="dxa" w:w="53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Apple Ads CPI, US</w:t>
            </w:r>
          </w:p>
        </w:tc>
        <w:tc>
          <w:tcPr>
            <w:tcW w:type="dxa" w:w="33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$2.51</w:t>
            </w:r>
          </w:p>
        </w:tc>
      </w:tr>
      <w:tr>
        <w:tc>
          <w:tcPr>
            <w:tcW w:type="dxa" w:w="53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Apple Ads install-to-paid</w:t>
            </w:r>
          </w:p>
        </w:tc>
        <w:tc>
          <w:tcPr>
            <w:tcW w:type="dxa" w:w="33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1.92%</w:t>
            </w:r>
          </w:p>
        </w:tc>
      </w:tr>
      <w:tr>
        <w:tc>
          <w:tcPr>
            <w:tcW w:type="dxa" w:w="53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New apps reaching $10K MRR within two years</w:t>
            </w:r>
          </w:p>
        </w:tc>
        <w:tc>
          <w:tcPr>
            <w:tcW w:type="dxa" w:w="33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4.6%</w:t>
            </w:r>
          </w:p>
        </w:tc>
      </w:tr>
    </w:tbl>
    <w:p>
      <w:pPr>
        <w:spacing w:after="120" w:before="0" w:line="280"/>
        <w:jc w:val="left"/>
      </w:pPr>
      <w:r>
        <w:rPr>
          <w:rFonts w:ascii="Calibri" w:cs="Calibri" w:eastAsia="Calibri" w:hAnsi="Calibri"/>
          <w:color w:val="2D3436"/>
          <w:sz w:val="21"/>
          <w:szCs w:val="21"/>
        </w:rPr>
        <w:t xml:space="preserve"/>
      </w:r>
    </w:p>
    <w:p>
      <w:pPr>
        <w:pBdr>
          <w:left w:val="single" w:color="F35343" w:sz="18" w:space="10"/>
        </w:pBdr>
        <w:shd w:fill="F4F1F0" w:val="clear"/>
        <w:spacing w:after="200" w:before="160" w:line="280"/>
        <w:ind w:left="172" w:right="172"/>
      </w:pPr>
      <w:r>
        <w:rPr>
          <w:rFonts w:ascii="Calibri" w:cs="Calibri" w:eastAsia="Calibri" w:hAnsi="Calibri"/>
          <w:b/>
          <w:bCs/>
          <w:color w:val="2D3436"/>
          <w:sz w:val="21"/>
          <w:szCs w:val="21"/>
        </w:rPr>
        <w:t xml:space="preserve">Cost per paying subscriber = $2.51 ÷ 0.0192 = $130.73</w:t>
      </w:r>
      <w:r>
        <w:br/>
      </w:r>
      <w:r>
        <w:rPr>
          <w:rFonts w:ascii="Calibri" w:cs="Calibri" w:eastAsia="Calibri" w:hAnsi="Calibri"/>
          <w:color w:val="2D3436"/>
          <w:sz w:val="21"/>
          <w:szCs w:val="21"/>
        </w:rPr>
        <w:t xml:space="preserve">Year-1 LTV, low-priced app = $10.69 gross, $9.09 net of Apple's 15% rate</w:t>
      </w:r>
      <w:r>
        <w:br/>
      </w:r>
      <w:r>
        <w:rPr>
          <w:rFonts w:ascii="Calibri" w:cs="Calibri" w:eastAsia="Calibri" w:hAnsi="Calibri"/>
          <w:color w:val="2D3436"/>
          <w:sz w:val="21"/>
          <w:szCs w:val="21"/>
        </w:rPr>
        <w:t xml:space="preserve">LTV / CAC = 0.07 — every paid subscriber loses roughly $122 in year one</w:t>
      </w:r>
      <w:r>
        <w:br/>
      </w:r>
      <w:r>
        <w:rPr>
          <w:rFonts w:ascii="Calibri" w:cs="Calibri" w:eastAsia="Calibri" w:hAnsi="Calibri"/>
          <w:color w:val="2D3436"/>
          <w:sz w:val="21"/>
          <w:szCs w:val="21"/>
        </w:rPr>
        <w:t xml:space="preserve"/>
      </w:r>
      <w:r>
        <w:br/>
      </w:r>
      <w:r>
        <w:rPr>
          <w:rFonts w:ascii="Calibri" w:cs="Calibri" w:eastAsia="Calibri" w:hAnsi="Calibri"/>
          <w:b/>
          <w:bCs/>
          <w:color w:val="2D3436"/>
          <w:sz w:val="21"/>
          <w:szCs w:val="21"/>
        </w:rPr>
        <w:t xml:space="preserve">100,000 paying subscribers at $29/year ≈ $2.9M gross, ≈ $2.5M net</w:t>
      </w:r>
    </w:p>
    <w:p>
      <w:pPr>
        <w:spacing w:after="140" w:before="0" w:line="280"/>
        <w:jc w:val="left"/>
      </w:pPr>
      <w:r>
        <w:rPr>
          <w:rFonts w:ascii="Calibri" w:cs="Calibri" w:eastAsia="Calibri" w:hAnsi="Calibri"/>
          <w:color w:val="2D3436"/>
          <w:sz w:val="21"/>
          <w:szCs w:val="21"/>
        </w:rPr>
        <w:t xml:space="preserve">Two conclusions follow, and we would rather state them than be told them. First, paid acquisition is not expensive for a $3.49/month app — it is arithmetically closed. Distribution has to be organic, which is slow. Second, at consumer pricing the realistic ceiling is a very good solo-founder business, not a fund-returner. The comparable set makes this concrete.</w:t>
      </w:r>
    </w:p>
    <w:tbl>
      <w:tblPr>
        <w:tblW w:type="dxa" w:w="8600"/>
        <w:tblBorders>
          <w:top w:val="single" w:color="D3D9DF" w:sz="4"/>
          <w:left w:val="none" w:color="FFFFFF" w:sz="0"/>
          <w:bottom w:val="single" w:color="D3D9DF" w:sz="4"/>
          <w:right w:val="none" w:color="FFFFFF" w:sz="0"/>
          <w:insideH w:val="single" w:color="D3D9DF" w:sz="4"/>
          <w:insideV w:val="none" w:color="FFFFFF" w:sz="0"/>
        </w:tblBorders>
      </w:tblPr>
      <w:tblGrid>
        <w:gridCol w:w="2000"/>
        <w:gridCol w:w="1500"/>
        <w:gridCol w:w="2900"/>
        <w:gridCol w:w="900"/>
        <w:gridCol w:w="1300"/>
      </w:tblGrid>
      <w:tr>
        <w:trPr>
          <w:tblHeader/>
        </w:trPr>
        <w:tc>
          <w:tcPr>
            <w:tcW w:type="dxa" w:w="2000"/>
            <w:shd w:fill="F4F5F6" w:val="clear"/>
            <w:tcMar>
              <w:top w:type="dxa" w:w="90"/>
              <w:left w:type="dxa" w:w="110"/>
              <w:bottom w:type="dxa" w:w="90"/>
              <w:right w:type="dxa" w:w="110"/>
            </w:tcMar>
          </w:tcPr>
          <w:p>
            <w:pPr>
              <w:spacing w:after="0" w:line="250"/>
            </w:pPr>
            <w:r>
              <w:rPr>
                <w:rFonts w:ascii="Calibri" w:cs="Calibri" w:eastAsia="Calibri" w:hAnsi="Calibri"/>
                <w:b/>
                <w:bCs/>
                <w:color w:val="74787C"/>
                <w:sz w:val="17"/>
                <w:szCs w:val="17"/>
              </w:rPr>
              <w:t xml:space="preserve">Product</w:t>
            </w:r>
          </w:p>
        </w:tc>
        <w:tc>
          <w:tcPr>
            <w:tcW w:type="dxa" w:w="1500"/>
            <w:shd w:fill="F4F5F6" w:val="clear"/>
            <w:tcMar>
              <w:top w:type="dxa" w:w="90"/>
              <w:left w:type="dxa" w:w="110"/>
              <w:bottom w:type="dxa" w:w="90"/>
              <w:right w:type="dxa" w:w="110"/>
            </w:tcMar>
          </w:tcPr>
          <w:p>
            <w:pPr>
              <w:spacing w:after="0" w:line="250"/>
            </w:pPr>
            <w:r>
              <w:rPr>
                <w:rFonts w:ascii="Calibri" w:cs="Calibri" w:eastAsia="Calibri" w:hAnsi="Calibri"/>
                <w:b/>
                <w:bCs/>
                <w:color w:val="74787C"/>
                <w:sz w:val="17"/>
                <w:szCs w:val="17"/>
              </w:rPr>
              <w:t xml:space="preserve">Price</w:t>
            </w:r>
          </w:p>
        </w:tc>
        <w:tc>
          <w:tcPr>
            <w:tcW w:type="dxa" w:w="2900"/>
            <w:shd w:fill="F4F5F6" w:val="clear"/>
            <w:tcMar>
              <w:top w:type="dxa" w:w="90"/>
              <w:left w:type="dxa" w:w="110"/>
              <w:bottom w:type="dxa" w:w="90"/>
              <w:right w:type="dxa" w:w="110"/>
            </w:tcMar>
          </w:tcPr>
          <w:p>
            <w:pPr>
              <w:spacing w:after="0" w:line="250"/>
            </w:pPr>
            <w:r>
              <w:rPr>
                <w:rFonts w:ascii="Calibri" w:cs="Calibri" w:eastAsia="Calibri" w:hAnsi="Calibri"/>
                <w:b/>
                <w:bCs/>
                <w:color w:val="74787C"/>
                <w:sz w:val="17"/>
                <w:szCs w:val="17"/>
              </w:rPr>
              <w:t xml:space="preserve">Revenue</w:t>
            </w:r>
          </w:p>
        </w:tc>
        <w:tc>
          <w:tcPr>
            <w:tcW w:type="dxa" w:w="900"/>
            <w:shd w:fill="F4F5F6" w:val="clear"/>
            <w:tcMar>
              <w:top w:type="dxa" w:w="90"/>
              <w:left w:type="dxa" w:w="110"/>
              <w:bottom w:type="dxa" w:w="90"/>
              <w:right w:type="dxa" w:w="110"/>
            </w:tcMar>
          </w:tcPr>
          <w:p>
            <w:pPr>
              <w:spacing w:after="0" w:line="250"/>
            </w:pPr>
            <w:r>
              <w:rPr>
                <w:rFonts w:ascii="Calibri" w:cs="Calibri" w:eastAsia="Calibri" w:hAnsi="Calibri"/>
                <w:b/>
                <w:bCs/>
                <w:color w:val="74787C"/>
                <w:sz w:val="17"/>
                <w:szCs w:val="17"/>
              </w:rPr>
              <w:t xml:space="preserve">Years</w:t>
            </w:r>
          </w:p>
        </w:tc>
        <w:tc>
          <w:tcPr>
            <w:tcW w:type="dxa" w:w="1300"/>
            <w:shd w:fill="F4F5F6" w:val="clear"/>
            <w:tcMar>
              <w:top w:type="dxa" w:w="90"/>
              <w:left w:type="dxa" w:w="110"/>
              <w:bottom w:type="dxa" w:w="90"/>
              <w:right w:type="dxa" w:w="110"/>
            </w:tcMar>
          </w:tcPr>
          <w:p>
            <w:pPr>
              <w:spacing w:after="0" w:line="250"/>
            </w:pPr>
            <w:r>
              <w:rPr>
                <w:rFonts w:ascii="Calibri" w:cs="Calibri" w:eastAsia="Calibri" w:hAnsi="Calibri"/>
                <w:b/>
                <w:bCs/>
                <w:color w:val="74787C"/>
                <w:sz w:val="17"/>
                <w:szCs w:val="17"/>
              </w:rPr>
              <w:t xml:space="preserve">Team</w:t>
            </w:r>
          </w:p>
        </w:tc>
      </w:tr>
      <w:tr>
        <w:tc>
          <w:tcPr>
            <w:tcW w:type="dxa" w:w="20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Doist / Todoist</w:t>
            </w:r>
          </w:p>
        </w:tc>
        <w:tc>
          <w:tcPr>
            <w:tcW w:type="dxa" w:w="15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$5/mo</w:t>
            </w:r>
          </w:p>
        </w:tc>
        <w:tc>
          <w:tcPr>
            <w:tcW w:type="dxa" w:w="29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~$26.5M ARR, 300K payers</w:t>
            </w:r>
          </w:p>
        </w:tc>
        <w:tc>
          <w:tcPr>
            <w:tcW w:type="dxa" w:w="9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17</w:t>
            </w:r>
          </w:p>
        </w:tc>
        <w:tc>
          <w:tcPr>
            <w:tcW w:type="dxa" w:w="13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103</w:t>
            </w:r>
          </w:p>
        </w:tc>
      </w:tr>
      <w:tr>
        <w:tc>
          <w:tcPr>
            <w:tcW w:type="dxa" w:w="20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Sunsama</w:t>
            </w:r>
          </w:p>
        </w:tc>
        <w:tc>
          <w:tcPr>
            <w:tcW w:type="dxa" w:w="15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~$20/mo</w:t>
            </w:r>
          </w:p>
        </w:tc>
        <w:tc>
          <w:tcPr>
            <w:tcW w:type="dxa" w:w="29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~$1.5M ARR</w:t>
            </w:r>
          </w:p>
        </w:tc>
        <w:tc>
          <w:tcPr>
            <w:tcW w:type="dxa" w:w="9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~7</w:t>
            </w:r>
          </w:p>
        </w:tc>
        <w:tc>
          <w:tcPr>
            <w:tcW w:type="dxa" w:w="13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9</w:t>
            </w:r>
          </w:p>
        </w:tc>
      </w:tr>
      <w:tr>
        <w:tc>
          <w:tcPr>
            <w:tcW w:type="dxa" w:w="20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Bear</w:t>
            </w:r>
          </w:p>
        </w:tc>
        <w:tc>
          <w:tcPr>
            <w:tcW w:type="dxa" w:w="15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$2.99/mo</w:t>
            </w:r>
          </w:p>
        </w:tc>
        <w:tc>
          <w:tcPr>
            <w:tcW w:type="dxa" w:w="29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~$330K ARR</w:t>
            </w:r>
          </w:p>
        </w:tc>
        <w:tc>
          <w:tcPr>
            <w:tcW w:type="dxa" w:w="9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~9</w:t>
            </w:r>
          </w:p>
        </w:tc>
        <w:tc>
          <w:tcPr>
            <w:tcW w:type="dxa" w:w="13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small</w:t>
            </w:r>
          </w:p>
        </w:tc>
      </w:tr>
      <w:tr>
        <w:tc>
          <w:tcPr>
            <w:tcW w:type="dxa" w:w="20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Obsidian</w:t>
            </w:r>
          </w:p>
        </w:tc>
        <w:tc>
          <w:tcPr>
            <w:tcW w:type="dxa" w:w="15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$4–10/mo</w:t>
            </w:r>
          </w:p>
        </w:tc>
        <w:tc>
          <w:tcPr>
            <w:tcW w:type="dxa" w:w="29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~$2–4M (est.; never disclosed)</w:t>
            </w:r>
          </w:p>
        </w:tc>
        <w:tc>
          <w:tcPr>
            <w:tcW w:type="dxa" w:w="9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~6</w:t>
            </w:r>
          </w:p>
        </w:tc>
        <w:tc>
          <w:tcPr>
            <w:tcW w:type="dxa" w:w="13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&lt;20</w:t>
            </w:r>
          </w:p>
        </w:tc>
      </w:tr>
      <w:tr>
        <w:tc>
          <w:tcPr>
            <w:tcW w:type="dxa" w:w="20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Akiflow</w:t>
            </w:r>
          </w:p>
        </w:tc>
        <w:tc>
          <w:tcPr>
            <w:tcW w:type="dxa" w:w="15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subscription</w:t>
            </w:r>
          </w:p>
        </w:tc>
        <w:tc>
          <w:tcPr>
            <w:tcW w:type="dxa" w:w="29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~$200K, 200 customers</w:t>
            </w:r>
          </w:p>
        </w:tc>
        <w:tc>
          <w:tcPr>
            <w:tcW w:type="dxa" w:w="9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~4</w:t>
            </w:r>
          </w:p>
        </w:tc>
        <w:tc>
          <w:tcPr>
            <w:tcW w:type="dxa" w:w="13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small</w:t>
            </w:r>
          </w:p>
        </w:tc>
      </w:tr>
    </w:tbl>
    <w:p>
      <w:pPr>
        <w:spacing w:after="120" w:before="0" w:line="280"/>
        <w:jc w:val="left"/>
      </w:pPr>
      <w:r>
        <w:rPr>
          <w:rFonts w:ascii="Calibri" w:cs="Calibri" w:eastAsia="Calibri" w:hAnsi="Calibri"/>
          <w:color w:val="2D3436"/>
          <w:sz w:val="21"/>
          <w:szCs w:val="21"/>
        </w:rPr>
        <w:t xml:space="preserve"/>
      </w:r>
    </w:p>
    <w:p>
      <w:pPr>
        <w:spacing w:after="140" w:before="0" w:line="280"/>
        <w:jc w:val="left"/>
      </w:pPr>
      <w:r>
        <w:rPr>
          <w:rFonts w:ascii="Calibri" w:cs="Calibri" w:eastAsia="Calibri" w:hAnsi="Calibri"/>
          <w:color w:val="2D3436"/>
          <w:sz w:val="21"/>
          <w:szCs w:val="21"/>
        </w:rPr>
        <w:t xml:space="preserve">This is why the deck is built on leg 2 rather than the app. If One Job is a consumer subscription task manager, the honest projection is somewhere between Bear and Sunsama within five years — a genuinely good outcome and a bad venture investment. If it becomes the client for a protocol, the consumer arithmetic stops being the binding constraint, because the business is no longer a $3.49 subscription.</w:t>
      </w:r>
    </w:p>
    <w:p>
      <w:pPr>
        <w:pStyle w:val="Heading1"/>
        <w:pBdr>
          <w:bottom w:val="single" w:color="F35343" w:sz="12" w:space="6"/>
        </w:pBdr>
        <w:spacing w:after="60" w:before="380"/>
      </w:pPr>
      <w:r>
        <w:rPr>
          <w:rFonts w:ascii="Georgia" w:cs="Georgia" w:eastAsia="Georgia" w:hAnsi="Georgia"/>
          <w:b/>
          <w:bCs/>
          <w:color w:val="2D3436"/>
          <w:sz w:val="30"/>
          <w:szCs w:val="30"/>
        </w:rPr>
        <w:t xml:space="preserve">Competitive reality</w:t>
      </w:r>
    </w:p>
    <w:p>
      <w:pPr>
        <w:pStyle w:val="Heading2"/>
        <w:spacing w:after="60" w:before="260"/>
      </w:pPr>
      <w:r>
        <w:rPr>
          <w:rFonts w:ascii="Georgia" w:cs="Georgia" w:eastAsia="Georgia" w:hAnsi="Georgia"/>
          <w:b/>
          <w:bCs/>
          <w:color w:val="2D3436"/>
          <w:sz w:val="24"/>
          <w:szCs w:val="24"/>
        </w:rPr>
        <w:t xml:space="preserve">The one-task-at-a-time graveyard</w:t>
      </w:r>
    </w:p>
    <w:p>
      <w:pPr>
        <w:spacing w:after="140" w:before="0" w:line="280"/>
        <w:jc w:val="left"/>
      </w:pPr>
      <w:r>
        <w:rPr>
          <w:rFonts w:ascii="Calibri" w:cs="Calibri" w:eastAsia="Calibri" w:hAnsi="Calibri"/>
          <w:color w:val="2D3436"/>
          <w:sz w:val="21"/>
          <w:szCs w:val="21"/>
        </w:rPr>
        <w:t xml:space="preserve">There is no incumbent, and that is not because nobody thought of it. Clear — the definitive gesture-minimal to-do app, an App Store cause célèbre, relaunched in 2024 — reports roughly 70,000 monthly and 20,000 daily active users after twelve years, monetized by $2.99 icon packs. Structured, which shows you the entire day on a timeline, has 165,000 App Store ratings. Below Clear sits a tier of roughly two dozen one-task-at-a-time apps, essentially all solo-built, most with fewer than a hundred ratings.</w:t>
      </w:r>
    </w:p>
    <w:p>
      <w:pPr>
        <w:spacing w:after="140" w:before="0" w:line="280"/>
        <w:jc w:val="left"/>
      </w:pPr>
      <w:r>
        <w:rPr>
          <w:rFonts w:ascii="Calibri" w:cs="Calibri" w:eastAsia="Calibri" w:hAnsi="Calibri"/>
          <w:color w:val="2D3436"/>
          <w:sz w:val="21"/>
          <w:szCs w:val="21"/>
        </w:rPr>
        <w:t xml:space="preserve">The reading matters: nothing died because of the constraint. Clear is alive. What the evidence shows is a ceiling — the constraint reliably earns a small devoted audience and reliably fails to earn a large one, because most people want to see their day. In an agent-review context that inverts: one-at-a-time stops being a preference a general audience must choose and becomes the correct shape for the job.</w:t>
      </w:r>
    </w:p>
    <w:p>
      <w:pPr>
        <w:pStyle w:val="Heading2"/>
        <w:spacing w:after="60" w:before="260"/>
      </w:pPr>
      <w:r>
        <w:rPr>
          <w:rFonts w:ascii="Georgia" w:cs="Georgia" w:eastAsia="Georgia" w:hAnsi="Georgia"/>
          <w:b/>
          <w:bCs/>
          <w:color w:val="2D3436"/>
          <w:sz w:val="24"/>
          <w:szCs w:val="24"/>
        </w:rPr>
        <w:t xml:space="preserve">Threats to the differentiation claim, stated by us</w:t>
      </w:r>
    </w:p>
    <w:p>
      <w:pPr>
        <w:pStyle w:val="ListParagraph"/>
        <w:numPr>
          <w:ilvl w:val="0"/>
          <w:numId w:val="2"/>
        </w:numPr>
        <w:spacing w:after="90" w:line="280"/>
      </w:pPr>
      <w:r>
        <w:rPr>
          <w:rFonts w:ascii="Calibri" w:cs="Calibri" w:eastAsia="Calibri" w:hAnsi="Calibri"/>
          <w:color w:val="2D3436"/>
          <w:sz w:val="21"/>
          <w:szCs w:val="21"/>
        </w:rPr>
        <w:t xml:space="preserve">Linear made agents first-class assignable workspace users in May 2025, with an SDK and named partner agents. Notion shipped External Agents in July 2026. Asana announced an “operating system for human-agent teams” in June 2026. “Nobody is building agent-to-human handoff” is false.</w:t>
      </w:r>
    </w:p>
    <w:p>
      <w:pPr>
        <w:pStyle w:val="ListParagraph"/>
        <w:numPr>
          <w:ilvl w:val="0"/>
          <w:numId w:val="2"/>
        </w:numPr>
        <w:spacing w:after="90" w:line="280"/>
      </w:pPr>
      <w:r>
        <w:rPr>
          <w:rFonts w:ascii="Calibri" w:cs="Calibri" w:eastAsia="Calibri" w:hAnsi="Calibri"/>
          <w:color w:val="2D3436"/>
          <w:sz w:val="21"/>
          <w:szCs w:val="21"/>
        </w:rPr>
        <w:t xml:space="preserve">LangChain shipped Agent Inbox — MIT-licensed, with a notify/question/review taxonomy — in January 2025, and is valued at $1.25B selling the orchestration underneath while giving the inbox away.</w:t>
      </w:r>
    </w:p>
    <w:p>
      <w:pPr>
        <w:pStyle w:val="ListParagraph"/>
        <w:numPr>
          <w:ilvl w:val="0"/>
          <w:numId w:val="2"/>
        </w:numPr>
        <w:spacing w:after="90" w:line="280"/>
      </w:pPr>
      <w:r>
        <w:rPr>
          <w:rFonts w:ascii="Calibri" w:cs="Calibri" w:eastAsia="Calibri" w:hAnsi="Calibri"/>
          <w:color w:val="2D3436"/>
          <w:sz w:val="21"/>
          <w:szCs w:val="21"/>
        </w:rPr>
        <w:t xml:space="preserve">MCP client support is a host concern. If Claude, ChatGPT, or Copilot implements Tasks natively, the review surface lives inside the host.</w:t>
      </w:r>
    </w:p>
    <w:p>
      <w:pPr>
        <w:pStyle w:val="ListParagraph"/>
        <w:numPr>
          <w:ilvl w:val="0"/>
          <w:numId w:val="2"/>
        </w:numPr>
        <w:spacing w:after="90" w:line="280"/>
      </w:pPr>
      <w:r>
        <w:rPr>
          <w:rFonts w:ascii="Calibri" w:cs="Calibri" w:eastAsia="Calibri" w:hAnsi="Calibri"/>
          <w:color w:val="2D3436"/>
          <w:sz w:val="21"/>
          <w:szCs w:val="21"/>
        </w:rPr>
        <w:t xml:space="preserve">The unified-task-layer pitch has been tried by at least three funded teams — Akiflow, Morgen, Sunsama — and none reached escape velocity. Akiflow's marketing is nearly word-for-word One Job's leg 1.</w:t>
      </w:r>
    </w:p>
    <w:p>
      <w:pPr>
        <w:pStyle w:val="ListParagraph"/>
        <w:numPr>
          <w:ilvl w:val="0"/>
          <w:numId w:val="2"/>
        </w:numPr>
        <w:spacing w:after="90" w:line="280"/>
      </w:pPr>
      <w:r>
        <w:rPr>
          <w:rFonts w:ascii="Calibri" w:cs="Calibri" w:eastAsia="Calibri" w:hAnsi="Calibri"/>
          <w:color w:val="2D3436"/>
          <w:sz w:val="21"/>
          <w:szCs w:val="21"/>
        </w:rPr>
        <w:t xml:space="preserve">Swipe-left-to-bottom is structurally an infinite deferral loop, and the product deliberately hides how many times you have done it. This is the sharpest question in the room and the answer is a product decision, not a rebuttal.</w:t>
      </w:r>
    </w:p>
    <w:p>
      <w:pPr>
        <w:spacing w:after="160" w:before="0" w:line="280"/>
        <w:jc w:val="left"/>
      </w:pPr>
      <w:r>
        <w:rPr>
          <w:rFonts w:ascii="Calibri" w:cs="Calibri" w:eastAsia="Calibri" w:hAnsi="Calibri"/>
          <w:color w:val="2D3436"/>
          <w:sz w:val="21"/>
          <w:szCs w:val="21"/>
        </w:rPr>
        <w:t xml:space="preserve">What survives all of that: every occupant above is either a workspace product requiring agent and human inside the same SaaS tenant, developer infrastructure that assumes you are building the agent, or a chat surface on a laptop. None is a durable, offline, single-decision-at-a-time mobile client spanning the tools one person already uses. That is the claim — narrower than “agent inboxes,” and true.</w:t>
      </w:r>
    </w:p>
    <w:p>
      <w:pPr>
        <w:pStyle w:val="Heading1"/>
        <w:pBdr>
          <w:bottom w:val="single" w:color="F35343" w:sz="12" w:space="6"/>
        </w:pBdr>
        <w:spacing w:after="60" w:before="380"/>
      </w:pPr>
      <w:r>
        <w:rPr>
          <w:rFonts w:ascii="Georgia" w:cs="Georgia" w:eastAsia="Georgia" w:hAnsi="Georgia"/>
          <w:b/>
          <w:bCs/>
          <w:color w:val="2D3436"/>
          <w:sz w:val="30"/>
          <w:szCs w:val="30"/>
        </w:rPr>
        <w:t xml:space="preserve">Proof of execution</w:t>
      </w:r>
    </w:p>
    <w:p>
      <w:pPr>
        <w:spacing w:after="140" w:before="0" w:line="280"/>
        <w:jc w:val="left"/>
      </w:pPr>
      <w:r>
        <w:rPr>
          <w:rFonts w:ascii="Calibri" w:cs="Calibri" w:eastAsia="Calibri" w:hAnsi="Calibri"/>
          <w:color w:val="2D3436"/>
          <w:sz w:val="21"/>
          <w:szCs w:val="21"/>
        </w:rPr>
        <w:t xml:space="preserve">There is no traction. There is one confirmed user beyond the founder, no downloads, no revenue, and — because the app collects no analytics by design — no instrument that could report otherwise. What exists instead is an unusual quality record, verifiable in a public git history.</w:t>
      </w:r>
    </w:p>
    <w:tbl>
      <w:tblPr>
        <w:tblW w:type="dxa" w:w="8600"/>
        <w:tblBorders>
          <w:top w:val="single" w:color="D3D9DF" w:sz="4"/>
          <w:left w:val="none" w:color="FFFFFF" w:sz="0"/>
          <w:bottom w:val="single" w:color="D3D9DF" w:sz="4"/>
          <w:right w:val="none" w:color="FFFFFF" w:sz="0"/>
          <w:insideH w:val="single" w:color="D3D9DF" w:sz="4"/>
          <w:insideV w:val="none" w:color="FFFFFF" w:sz="0"/>
        </w:tblBorders>
      </w:tblPr>
      <w:tblGrid>
        <w:gridCol w:w="1250"/>
        <w:gridCol w:w="7350"/>
      </w:tblGrid>
      <w:tr>
        <w:trPr>
          <w:tblHeader/>
        </w:trPr>
        <w:tc>
          <w:tcPr>
            <w:tcW w:type="dxa" w:w="1250"/>
            <w:shd w:fill="F4F5F6" w:val="clear"/>
            <w:tcMar>
              <w:top w:type="dxa" w:w="90"/>
              <w:left w:type="dxa" w:w="110"/>
              <w:bottom w:type="dxa" w:w="90"/>
              <w:right w:type="dxa" w:w="110"/>
            </w:tcMar>
          </w:tcPr>
          <w:p>
            <w:pPr>
              <w:spacing w:after="0" w:line="250"/>
            </w:pPr>
            <w:r>
              <w:rPr>
                <w:rFonts w:ascii="Calibri" w:cs="Calibri" w:eastAsia="Calibri" w:hAnsi="Calibri"/>
                <w:b/>
                <w:bCs/>
                <w:color w:val="74787C"/>
                <w:sz w:val="17"/>
                <w:szCs w:val="17"/>
              </w:rPr>
              <w:t xml:space="preserve">Date</w:t>
            </w:r>
          </w:p>
        </w:tc>
        <w:tc>
          <w:tcPr>
            <w:tcW w:type="dxa" w:w="7350"/>
            <w:shd w:fill="F4F5F6" w:val="clear"/>
            <w:tcMar>
              <w:top w:type="dxa" w:w="90"/>
              <w:left w:type="dxa" w:w="110"/>
              <w:bottom w:type="dxa" w:w="90"/>
              <w:right w:type="dxa" w:w="110"/>
            </w:tcMar>
          </w:tcPr>
          <w:p>
            <w:pPr>
              <w:spacing w:after="0" w:line="250"/>
            </w:pPr>
            <w:r>
              <w:rPr>
                <w:rFonts w:ascii="Calibri" w:cs="Calibri" w:eastAsia="Calibri" w:hAnsi="Calibri"/>
                <w:b/>
                <w:bCs/>
                <w:color w:val="74787C"/>
                <w:sz w:val="17"/>
                <w:szCs w:val="17"/>
              </w:rPr>
              <w:t xml:space="preserve">Event</w:t>
            </w:r>
          </w:p>
        </w:tc>
      </w:tr>
      <w:tr>
        <w:tc>
          <w:tcPr>
            <w:tcW w:type="dxa" w:w="125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2025-05-22</w:t>
            </w:r>
          </w:p>
        </w:tc>
        <w:tc>
          <w:tcPr>
            <w:tcW w:type="dxa" w:w="735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First commit. 69 commits over four months.</w:t>
            </w:r>
          </w:p>
        </w:tc>
      </w:tr>
      <w:tr>
        <w:tc>
          <w:tcPr>
            <w:tcW w:type="dxa" w:w="125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2025-08-02</w:t>
            </w:r>
          </w:p>
        </w:tc>
        <w:tc>
          <w:tcPr>
            <w:tcW w:type="dxa" w:w="735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Work stops. Eleven months of zero commits.</w:t>
            </w:r>
          </w:p>
        </w:tc>
      </w:tr>
      <w:tr>
        <w:tc>
          <w:tcPr>
            <w:tcW w:type="dxa" w:w="125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2026-07-01</w:t>
            </w:r>
          </w:p>
        </w:tc>
        <w:tc>
          <w:tcPr>
            <w:tcW w:type="dxa" w:w="735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Restart. A fresh agent reads the whole history and names the blocker every prior pass stepped around.</w:t>
            </w:r>
          </w:p>
        </w:tc>
      </w:tr>
      <w:tr>
        <w:tc>
          <w:tcPr>
            <w:tcW w:type="dxa" w:w="125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2026-07-03</w:t>
            </w:r>
          </w:p>
        </w:tc>
        <w:tc>
          <w:tcPr>
            <w:tcW w:type="dxa" w:w="735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Local-first pivot. The app becomes the founder's daily driver.</w:t>
            </w:r>
          </w:p>
        </w:tc>
      </w:tr>
      <w:tr>
        <w:tc>
          <w:tcPr>
            <w:tcW w:type="dxa" w:w="125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2026-07-05</w:t>
            </w:r>
          </w:p>
        </w:tc>
        <w:tc>
          <w:tcPr>
            <w:tcW w:type="dxa" w:w="735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Real data loss — the founder's own deck, following a sanctioned reinstall. Fix, protocol, and hard gate shipped the same morning.</w:t>
            </w:r>
          </w:p>
        </w:tc>
      </w:tr>
      <w:tr>
        <w:tc>
          <w:tcPr>
            <w:tcW w:type="dxa" w:w="125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2026-07-29</w:t>
            </w:r>
          </w:p>
        </w:tc>
        <w:tc>
          <w:tcPr>
            <w:tcW w:type="dxa" w:w="735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Nine releases in one day (rc.13 → rc.21).</w:t>
            </w:r>
          </w:p>
        </w:tc>
      </w:tr>
      <w:tr>
        <w:tc>
          <w:tcPr>
            <w:tcW w:type="dxa" w:w="125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2026-08-01</w:t>
            </w:r>
          </w:p>
        </w:tc>
        <w:tc>
          <w:tcPr>
            <w:tcW w:type="dxa" w:w="735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First TestFlight artifact uploaded.</w:t>
            </w:r>
          </w:p>
        </w:tc>
      </w:tr>
      <w:tr>
        <w:tc>
          <w:tcPr>
            <w:tcW w:type="dxa" w:w="125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2026-08-04</w:t>
            </w:r>
          </w:p>
        </w:tc>
        <w:tc>
          <w:tcPr>
            <w:tcW w:type="dxa" w:w="735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Near-wipe: a stale service worker reads newer data as empty. rc.23 ships FutureDataError the same day. Zero loss.</w:t>
            </w:r>
          </w:p>
        </w:tc>
      </w:tr>
      <w:tr>
        <w:tc>
          <w:tcPr>
            <w:tcW w:type="dxa" w:w="125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2026-08-16</w:t>
            </w:r>
          </w:p>
        </w:tc>
        <w:tc>
          <w:tcPr>
            <w:tcW w:type="dxa" w:w="735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Build 32 uploaded to App Store Connect. Full pipeline proven end to end for the first time.</w:t>
            </w:r>
          </w:p>
        </w:tc>
      </w:tr>
      <w:tr>
        <w:tc>
          <w:tcPr>
            <w:tcW w:type="dxa" w:w="125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2026-08-20</w:t>
            </w:r>
          </w:p>
        </w:tc>
        <w:tc>
          <w:tcPr>
            <w:tcW w:type="dxa" w:w="735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Device pass surfaces the white-screen bug — the sole remaining gate on submission.</w:t>
            </w:r>
          </w:p>
        </w:tc>
      </w:tr>
    </w:tbl>
    <w:p>
      <w:pPr>
        <w:spacing w:after="140" w:before="0" w:line="280"/>
        <w:jc w:val="left"/>
      </w:pPr>
      <w:r>
        <w:rPr>
          <w:rFonts w:ascii="Calibri" w:cs="Calibri" w:eastAsia="Calibri" w:hAnsi="Calibri"/>
          <w:color w:val="2D3436"/>
          <w:sz w:val="21"/>
          <w:szCs w:val="21"/>
        </w:rPr>
        <w:t xml:space="preserve"/>
      </w:r>
    </w:p>
    <w:p>
      <w:pPr>
        <w:spacing w:after="40" w:before="200"/>
      </w:pPr>
      <w:r>
        <w:rPr>
          <w:rFonts w:ascii="Calibri" w:cs="Calibri" w:eastAsia="Calibri" w:hAnsi="Calibri"/>
          <w:b/>
          <w:bCs/>
          <w:color w:val="F35343"/>
          <w:spacing w:val="30"/>
          <w:sz w:val="16"/>
          <w:szCs w:val="16"/>
        </w:rPr>
        <w:t xml:space="preserve">QUALITY EVIDENCE</w:t>
      </w:r>
    </w:p>
    <w:p>
      <w:pPr>
        <w:pStyle w:val="ListParagraph"/>
        <w:numPr>
          <w:ilvl w:val="0"/>
          <w:numId w:val="2"/>
        </w:numPr>
        <w:spacing w:after="90" w:line="280"/>
      </w:pPr>
      <w:r>
        <w:rPr>
          <w:rFonts w:ascii="Calibri" w:cs="Calibri" w:eastAsia="Calibri" w:hAnsi="Calibri"/>
          <w:color w:val="2D3436"/>
          <w:sz w:val="21"/>
          <w:szCs w:val="21"/>
        </w:rPr>
        <w:t xml:space="preserve">367 commits and 33 release candidates in 57 days, after an 11-month stall.</w:t>
      </w:r>
    </w:p>
    <w:p>
      <w:pPr>
        <w:pStyle w:val="ListParagraph"/>
        <w:numPr>
          <w:ilvl w:val="0"/>
          <w:numId w:val="2"/>
        </w:numPr>
        <w:spacing w:after="90" w:line="280"/>
      </w:pPr>
      <w:r>
        <w:rPr>
          <w:rFonts w:ascii="Calibri" w:cs="Calibri" w:eastAsia="Calibri" w:hAnsi="Calibri"/>
          <w:color w:val="2D3436"/>
          <w:sz w:val="21"/>
          <w:szCs w:val="21"/>
        </w:rPr>
        <w:t xml:space="preserve">167 tests passing, up 79 in 23 days, across a two-version Node CI matrix with fail-fast disabled.</w:t>
      </w:r>
    </w:p>
    <w:p>
      <w:pPr>
        <w:pStyle w:val="ListParagraph"/>
        <w:numPr>
          <w:ilvl w:val="0"/>
          <w:numId w:val="2"/>
        </w:numPr>
        <w:spacing w:after="90" w:line="280"/>
      </w:pPr>
      <w:r>
        <w:rPr>
          <w:rFonts w:ascii="Calibri" w:cs="Calibri" w:eastAsia="Calibri" w:hAnsi="Calibri"/>
          <w:color w:val="2D3436"/>
          <w:sz w:val="21"/>
          <w:szCs w:val="21"/>
        </w:rPr>
        <w:t xml:space="preserve">A deploy job that curls the live site and compares the served bundle hash to what was built — “deploy succeeded is observed, never assumed.” It caught three days of silently failed deploys in August.</w:t>
      </w:r>
    </w:p>
    <w:p>
      <w:pPr>
        <w:pStyle w:val="ListParagraph"/>
        <w:numPr>
          <w:ilvl w:val="0"/>
          <w:numId w:val="2"/>
        </w:numPr>
        <w:spacing w:after="90" w:line="280"/>
      </w:pPr>
      <w:r>
        <w:rPr>
          <w:rFonts w:ascii="Calibri" w:cs="Calibri" w:eastAsia="Calibri" w:hAnsi="Calibri"/>
          <w:color w:val="2D3436"/>
          <w:sz w:val="21"/>
          <w:szCs w:val="21"/>
        </w:rPr>
        <w:t xml:space="preserve">A RED/YELLOW/GREEN TDD zone framework requiring test-first work on API contracts, gestures, task state, sort order, and storage.</w:t>
      </w:r>
    </w:p>
    <w:p>
      <w:pPr>
        <w:pStyle w:val="Heading2"/>
        <w:spacing w:after="60" w:before="260"/>
      </w:pPr>
      <w:r>
        <w:rPr>
          <w:rFonts w:ascii="Georgia" w:cs="Georgia" w:eastAsia="Georgia" w:hAnsi="Georgia"/>
          <w:b/>
          <w:bCs/>
          <w:color w:val="2D3436"/>
          <w:sz w:val="24"/>
          <w:szCs w:val="24"/>
        </w:rPr>
        <w:t xml:space="preserve">The incident record</w:t>
      </w:r>
    </w:p>
    <w:p>
      <w:pPr>
        <w:spacing w:after="140" w:before="0" w:line="280"/>
        <w:jc w:val="left"/>
      </w:pPr>
      <w:r>
        <w:rPr>
          <w:rFonts w:ascii="Calibri" w:cs="Calibri" w:eastAsia="Calibri" w:hAnsi="Calibri"/>
          <w:color w:val="2D3436"/>
          <w:sz w:val="21"/>
          <w:szCs w:val="21"/>
        </w:rPr>
        <w:t xml:space="preserve">On 5 July 2026 an export reported success and the file did not exist; the founder deleted the app on the strength of that toast and lost days of real use. The postmortem was written the same morning, root cause traced through three layers, and the lesson promoted to a standing requirement: a success signal that reports an attempt is a lie waiting for its moment. A hard gate was added blocking any public invitation until backup was proven on a real device — and it held for 46 days, closing only when the founder opened an export file and confirmed his decks were inside it. The resulting destructive-action protocol now governs a four-agent, multi-project network and has been generalized twice from other projects' incidents. Zero incidents were hidden, minimized, or attributed to the user.</w:t>
      </w:r>
    </w:p>
    <w:p>
      <w:pPr>
        <w:pStyle w:val="Heading1"/>
        <w:pBdr>
          <w:bottom w:val="single" w:color="F35343" w:sz="12" w:space="6"/>
        </w:pBdr>
        <w:spacing w:after="60" w:before="380"/>
      </w:pPr>
      <w:r>
        <w:rPr>
          <w:rFonts w:ascii="Georgia" w:cs="Georgia" w:eastAsia="Georgia" w:hAnsi="Georgia"/>
          <w:b/>
          <w:bCs/>
          <w:color w:val="2D3436"/>
          <w:sz w:val="30"/>
          <w:szCs w:val="30"/>
        </w:rPr>
        <w:t xml:space="preserve">What we have not proven</w:t>
      </w:r>
    </w:p>
    <w:p>
      <w:pPr>
        <w:spacing w:after="140" w:before="0" w:line="280"/>
        <w:jc w:val="left"/>
      </w:pPr>
      <w:r>
        <w:rPr>
          <w:rFonts w:ascii="Calibri" w:cs="Calibri" w:eastAsia="Calibri" w:hAnsi="Calibri"/>
          <w:color w:val="2D3436"/>
          <w:sz w:val="21"/>
          <w:szCs w:val="21"/>
        </w:rPr>
        <w:t xml:space="preserve">Plainly, so it is not a discovery later:</w:t>
      </w:r>
    </w:p>
    <w:p>
      <w:pPr>
        <w:pStyle w:val="ListParagraph"/>
        <w:numPr>
          <w:ilvl w:val="0"/>
          <w:numId w:val="2"/>
        </w:numPr>
        <w:spacing w:after="90" w:line="280"/>
      </w:pPr>
      <w:r>
        <w:rPr>
          <w:rFonts w:ascii="Calibri" w:cs="Calibri" w:eastAsia="Calibri" w:hAnsi="Calibri"/>
          <w:color w:val="2D3436"/>
          <w:sz w:val="21"/>
          <w:szCs w:val="21"/>
        </w:rPr>
        <w:t xml:space="preserve">That anyone beyond the founder and one tester wants this. Zero App Store downloads — never submitted for review. Zero Play Store downloads — console app never created.</w:t>
      </w:r>
    </w:p>
    <w:p>
      <w:pPr>
        <w:pStyle w:val="ListParagraph"/>
        <w:numPr>
          <w:ilvl w:val="0"/>
          <w:numId w:val="2"/>
        </w:numPr>
        <w:spacing w:after="90" w:line="280"/>
      </w:pPr>
      <w:r>
        <w:rPr>
          <w:rFonts w:ascii="Calibri" w:cs="Calibri" w:eastAsia="Calibri" w:hAnsi="Calibri"/>
          <w:color w:val="2D3436"/>
          <w:sz w:val="21"/>
          <w:szCs w:val="21"/>
        </w:rPr>
        <w:t xml:space="preserve">Any retention, engagement, or cohort number. Structurally unmeasurable today: no analytics code exists anywhere in the codebase, by design.</w:t>
      </w:r>
    </w:p>
    <w:p>
      <w:pPr>
        <w:pStyle w:val="ListParagraph"/>
        <w:numPr>
          <w:ilvl w:val="0"/>
          <w:numId w:val="2"/>
        </w:numPr>
        <w:spacing w:after="90" w:line="280"/>
      </w:pPr>
      <w:r>
        <w:rPr>
          <w:rFonts w:ascii="Calibri" w:cs="Calibri" w:eastAsia="Calibri" w:hAnsi="Calibri"/>
          <w:color w:val="2D3436"/>
          <w:sz w:val="21"/>
          <w:szCs w:val="21"/>
        </w:rPr>
        <w:t xml:space="preserve">Any revenue. $0. The Pro tier is comp-only; there is one comp account and it is the founder's.</w:t>
      </w:r>
    </w:p>
    <w:p>
      <w:pPr>
        <w:pStyle w:val="ListParagraph"/>
        <w:numPr>
          <w:ilvl w:val="0"/>
          <w:numId w:val="2"/>
        </w:numPr>
        <w:spacing w:after="90" w:line="280"/>
      </w:pPr>
      <w:r>
        <w:rPr>
          <w:rFonts w:ascii="Calibri" w:cs="Calibri" w:eastAsia="Calibri" w:hAnsi="Calibri"/>
          <w:color w:val="2D3436"/>
          <w:sz w:val="21"/>
          <w:szCs w:val="21"/>
        </w:rPr>
        <w:t xml:space="preserve">Any conversion funnel, waitlist, or email list. No signup form exists.</w:t>
      </w:r>
    </w:p>
    <w:p>
      <w:pPr>
        <w:pStyle w:val="ListParagraph"/>
        <w:numPr>
          <w:ilvl w:val="0"/>
          <w:numId w:val="2"/>
        </w:numPr>
        <w:spacing w:after="90" w:line="280"/>
      </w:pPr>
      <w:r>
        <w:rPr>
          <w:rFonts w:ascii="Calibri" w:cs="Calibri" w:eastAsia="Calibri" w:hAnsi="Calibri"/>
          <w:color w:val="2D3436"/>
          <w:sz w:val="21"/>
          <w:szCs w:val="21"/>
        </w:rPr>
        <w:t xml:space="preserve">That the MCP Tasks bet is right. Zero clients implement Tasks, which is simultaneously the opportunity and the risk — a cold-start standoff between servers that don't emit it and clients that don't consume it.</w:t>
      </w:r>
    </w:p>
    <w:p>
      <w:pPr>
        <w:pStyle w:val="Heading1"/>
        <w:pBdr>
          <w:bottom w:val="single" w:color="F35343" w:sz="12" w:space="6"/>
        </w:pBdr>
        <w:spacing w:after="60" w:before="380"/>
      </w:pPr>
      <w:r>
        <w:rPr>
          <w:rFonts w:ascii="Georgia" w:cs="Georgia" w:eastAsia="Georgia" w:hAnsi="Georgia"/>
          <w:b/>
          <w:bCs/>
          <w:color w:val="2D3436"/>
          <w:sz w:val="30"/>
          <w:szCs w:val="30"/>
        </w:rPr>
        <w:t xml:space="preserve">Team</w:t>
      </w:r>
    </w:p>
    <w:p>
      <w:pPr>
        <w:spacing w:after="140" w:before="0" w:line="280"/>
        <w:jc w:val="left"/>
      </w:pPr>
      <w:r>
        <w:rPr>
          <w:rFonts w:ascii="Calibri" w:cs="Calibri" w:eastAsia="Calibri" w:hAnsi="Calibri"/>
          <w:color w:val="2D3436"/>
          <w:sz w:val="21"/>
          <w:szCs w:val="21"/>
        </w:rPr>
        <w:t xml:space="preserve">Christian Crumlish — founder, sole full-time.</w:t>
      </w:r>
    </w:p>
    <w:p>
      <w:pPr>
        <w:pStyle w:val="ListParagraph"/>
        <w:numPr>
          <w:ilvl w:val="0"/>
          <w:numId w:val="2"/>
        </w:numPr>
        <w:spacing w:after="90" w:line="280"/>
      </w:pPr>
      <w:r>
        <w:rPr>
          <w:rFonts w:ascii="Calibri" w:cs="Calibri" w:eastAsia="Calibri" w:hAnsi="Calibri"/>
          <w:color w:val="2D3436"/>
          <w:sz w:val="21"/>
          <w:szCs w:val="21"/>
        </w:rPr>
        <w:t xml:space="preserve">Appointed by Gov. Newsom to California's Office of Data and Innovation (2022); later Acting Deputy Director for Service Innovation.</w:t>
      </w:r>
    </w:p>
    <w:p>
      <w:pPr>
        <w:pStyle w:val="ListParagraph"/>
        <w:numPr>
          <w:ilvl w:val="0"/>
          <w:numId w:val="2"/>
        </w:numPr>
        <w:spacing w:after="90" w:line="280"/>
      </w:pPr>
      <w:r>
        <w:rPr>
          <w:rFonts w:ascii="Calibri" w:cs="Calibri" w:eastAsia="Calibri" w:hAnsi="Calibri"/>
          <w:color w:val="2D3436"/>
          <w:sz w:val="21"/>
          <w:szCs w:val="21"/>
        </w:rPr>
        <w:t xml:space="preserve">Product lead, covid19.ca.gov (2021–2022).</w:t>
      </w:r>
    </w:p>
    <w:p>
      <w:pPr>
        <w:pStyle w:val="ListParagraph"/>
        <w:numPr>
          <w:ilvl w:val="0"/>
          <w:numId w:val="2"/>
        </w:numPr>
        <w:spacing w:after="90" w:line="280"/>
      </w:pPr>
      <w:r>
        <w:rPr>
          <w:rFonts w:ascii="Calibri" w:cs="Calibri" w:eastAsia="Calibri" w:hAnsi="Calibri"/>
          <w:color w:val="2D3436"/>
          <w:sz w:val="21"/>
          <w:szCs w:val="21"/>
        </w:rPr>
        <w:t xml:space="preserve">Director of Product, 18F / GSA (2024–2025) — led the Product chapter, including ClimateCorps.gov and State Department passport modernization.</w:t>
      </w:r>
    </w:p>
    <w:p>
      <w:pPr>
        <w:pStyle w:val="ListParagraph"/>
        <w:numPr>
          <w:ilvl w:val="0"/>
          <w:numId w:val="2"/>
        </w:numPr>
        <w:spacing w:after="90" w:line="280"/>
      </w:pPr>
      <w:r>
        <w:rPr>
          <w:rFonts w:ascii="Calibri" w:cs="Calibri" w:eastAsia="Calibri" w:hAnsi="Calibri"/>
          <w:color w:val="2D3436"/>
          <w:sz w:val="21"/>
          <w:szCs w:val="21"/>
        </w:rPr>
        <w:t xml:space="preserve">Curator of the Yahoo! Design Pattern Library (2007–2010); Sr. Director, Customer Experience &amp; Messaging, AOL; Sr. Director, Product &amp; UX, CloudOn (acq. Dropbox); VP of Products, 7 Cups.</w:t>
      </w:r>
    </w:p>
    <w:p>
      <w:pPr>
        <w:pStyle w:val="ListParagraph"/>
        <w:numPr>
          <w:ilvl w:val="0"/>
          <w:numId w:val="2"/>
        </w:numPr>
        <w:spacing w:after="90" w:line="280"/>
      </w:pPr>
      <w:r>
        <w:rPr>
          <w:rFonts w:ascii="Calibri" w:cs="Calibri" w:eastAsia="Calibri" w:hAnsi="Calibri"/>
          <w:color w:val="2D3436"/>
          <w:sz w:val="21"/>
          <w:szCs w:val="21"/>
        </w:rPr>
        <w:t xml:space="preserve">Author: Product Management for UX People (Rosenfeld Media, 2022); Designing Social Interfaces (O'Reilly, 2009, 2nd ed. 2015, with Erin Malone); The Power of Many (Sybex, 2004); The Internet for Busy People (Osborne/McGraw-Hill, 1995).</w:t>
      </w:r>
    </w:p>
    <w:p>
      <w:pPr>
        <w:pStyle w:val="ListParagraph"/>
        <w:numPr>
          <w:ilvl w:val="0"/>
          <w:numId w:val="2"/>
        </w:numPr>
        <w:spacing w:after="90" w:line="280"/>
      </w:pPr>
      <w:r>
        <w:rPr>
          <w:rFonts w:ascii="Calibri" w:cs="Calibri" w:eastAsia="Calibri" w:hAnsi="Calibri"/>
          <w:color w:val="2D3436"/>
          <w:sz w:val="21"/>
          <w:szCs w:val="21"/>
        </w:rPr>
        <w:t xml:space="preserve">Two terms as Director of the Information Architecture Institute; co-chair, BayCHI program; Conference Chair, Rosenfeld Media's Design in Product (2022, 2023); Aspen Tech Policy Hub TELI Leader, 2023.</w:t>
      </w:r>
    </w:p>
    <w:p>
      <w:pPr>
        <w:spacing w:after="160" w:before="0" w:line="280"/>
        <w:jc w:val="left"/>
      </w:pPr>
      <w:r>
        <w:rPr>
          <w:rFonts w:ascii="Calibri" w:cs="Calibri" w:eastAsia="Calibri" w:hAnsi="Calibri"/>
          <w:color w:val="2D3436"/>
          <w:sz w:val="21"/>
          <w:szCs w:val="21"/>
        </w:rPr>
        <w:t xml:space="preserve">The development method is itself part of the team. One Job is built by a named persistent agent working within a four-agent network with a repo-based mail protocol, session logs, and a daily cross-pollination brief that has run 52 of 53 consecutive days into this repository. The eleven-month stall and the eight-week recovery are the before-and-after.</w:t>
      </w:r>
    </w:p>
    <w:p>
      <w:pPr>
        <w:pStyle w:val="Heading1"/>
        <w:pBdr>
          <w:bottom w:val="single" w:color="F35343" w:sz="12" w:space="6"/>
        </w:pBdr>
        <w:spacing w:after="60" w:before="380"/>
      </w:pPr>
      <w:r>
        <w:rPr>
          <w:rFonts w:ascii="Georgia" w:cs="Georgia" w:eastAsia="Georgia" w:hAnsi="Georgia"/>
          <w:b/>
          <w:bCs/>
          <w:color w:val="2D3436"/>
          <w:sz w:val="30"/>
          <w:szCs w:val="30"/>
        </w:rPr>
        <w:t xml:space="preserve">Risks</w:t>
      </w:r>
    </w:p>
    <w:tbl>
      <w:tblPr>
        <w:tblW w:type="dxa" w:w="8600"/>
        <w:tblBorders>
          <w:top w:val="single" w:color="D3D9DF" w:sz="4"/>
          <w:left w:val="none" w:color="FFFFFF" w:sz="0"/>
          <w:bottom w:val="single" w:color="D3D9DF" w:sz="4"/>
          <w:right w:val="none" w:color="FFFFFF" w:sz="0"/>
          <w:insideH w:val="single" w:color="D3D9DF" w:sz="4"/>
          <w:insideV w:val="none" w:color="FFFFFF" w:sz="0"/>
        </w:tblBorders>
      </w:tblPr>
      <w:tblGrid>
        <w:gridCol w:w="2200"/>
        <w:gridCol w:w="6400"/>
      </w:tblGrid>
      <w:tr>
        <w:trPr>
          <w:tblHeader/>
        </w:trPr>
        <w:tc>
          <w:tcPr>
            <w:tcW w:type="dxa" w:w="2200"/>
            <w:shd w:fill="F4F5F6" w:val="clear"/>
            <w:tcMar>
              <w:top w:type="dxa" w:w="90"/>
              <w:left w:type="dxa" w:w="110"/>
              <w:bottom w:type="dxa" w:w="90"/>
              <w:right w:type="dxa" w:w="110"/>
            </w:tcMar>
          </w:tcPr>
          <w:p>
            <w:pPr>
              <w:spacing w:after="0" w:line="250"/>
            </w:pPr>
            <w:r>
              <w:rPr>
                <w:rFonts w:ascii="Calibri" w:cs="Calibri" w:eastAsia="Calibri" w:hAnsi="Calibri"/>
                <w:b/>
                <w:bCs/>
                <w:color w:val="74787C"/>
                <w:sz w:val="17"/>
                <w:szCs w:val="17"/>
              </w:rPr>
              <w:t xml:space="preserve">Risk</w:t>
            </w:r>
          </w:p>
        </w:tc>
        <w:tc>
          <w:tcPr>
            <w:tcW w:type="dxa" w:w="6400"/>
            <w:shd w:fill="F4F5F6" w:val="clear"/>
            <w:tcMar>
              <w:top w:type="dxa" w:w="90"/>
              <w:left w:type="dxa" w:w="110"/>
              <w:bottom w:type="dxa" w:w="90"/>
              <w:right w:type="dxa" w:w="110"/>
            </w:tcMar>
          </w:tcPr>
          <w:p>
            <w:pPr>
              <w:spacing w:after="0" w:line="250"/>
            </w:pPr>
            <w:r>
              <w:rPr>
                <w:rFonts w:ascii="Calibri" w:cs="Calibri" w:eastAsia="Calibri" w:hAnsi="Calibri"/>
                <w:b/>
                <w:bCs/>
                <w:color w:val="74787C"/>
                <w:sz w:val="17"/>
                <w:szCs w:val="17"/>
              </w:rPr>
              <w:t xml:space="preserve">Our read</w:t>
            </w:r>
          </w:p>
        </w:tc>
      </w:tr>
      <w:tr>
        <w:tc>
          <w:tcPr>
            <w:tcW w:type="dxa" w:w="22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The protocol bet doesn't land</w:t>
            </w:r>
          </w:p>
        </w:tc>
        <w:tc>
          <w:tcPr>
            <w:tcW w:type="dxa" w:w="64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Zero clients implement Tasks today. If hosts implement it natively, the review surface lives inside the host. Mitigation is being the mobile, offline, single-decision client none of them is — but this is a contested claim, not a settled one.</w:t>
            </w:r>
          </w:p>
        </w:tc>
      </w:tr>
      <w:tr>
        <w:tc>
          <w:tcPr>
            <w:tcW w:type="dxa" w:w="22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Consumer pricing caps the outcome</w:t>
            </w:r>
          </w:p>
        </w:tc>
        <w:tc>
          <w:tcPr>
            <w:tcW w:type="dxa" w:w="64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Real and structural. $29/year sits in the cohort with $10.69 Year-1 LTV. The highest-leverage change available is the price and the buyer, not the product.</w:t>
            </w:r>
          </w:p>
        </w:tc>
      </w:tr>
      <w:tr>
        <w:tc>
          <w:tcPr>
            <w:tcW w:type="dxa" w:w="22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Incumbents ship it in a sprint</w:t>
            </w:r>
          </w:p>
        </w:tc>
        <w:tc>
          <w:tcPr>
            <w:tcW w:type="dxa" w:w="64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Linear, Notion, and Asana can make their existing inboxes Tasks-aware quickly, with distribution we don't have. Our surface is the one they don't want to build: cross-tool, account-free, on the user's own device.</w:t>
            </w:r>
          </w:p>
        </w:tc>
      </w:tr>
      <w:tr>
        <w:tc>
          <w:tcPr>
            <w:tcW w:type="dxa" w:w="22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Single founder, no traction</w:t>
            </w:r>
          </w:p>
        </w:tc>
        <w:tc>
          <w:tcPr>
            <w:tcW w:type="dxa" w:w="64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Accurate. The sequencing answer is that we ship 1.0 and earn users before raising, so the round is priced against evidence rather than narrative.</w:t>
            </w:r>
          </w:p>
        </w:tc>
      </w:tr>
      <w:tr>
        <w:tc>
          <w:tcPr>
            <w:tcW w:type="dxa" w:w="2200"/>
            <w:tcMar>
              <w:top w:type="dxa" w:w="90"/>
              <w:left w:type="dxa" w:w="110"/>
              <w:bottom w:type="dxa" w:w="90"/>
              <w:right w:type="dxa" w:w="110"/>
            </w:tcMar>
          </w:tcPr>
          <w:p>
            <w:pPr>
              <w:spacing w:after="0" w:line="250"/>
            </w:pPr>
            <w:r>
              <w:rPr>
                <w:rFonts w:ascii="Calibri" w:cs="Calibri" w:eastAsia="Calibri" w:hAnsi="Calibri"/>
                <w:b/>
                <w:bCs/>
                <w:color w:val="2D3436"/>
                <w:sz w:val="19"/>
                <w:szCs w:val="19"/>
              </w:rPr>
              <w:t xml:space="preserve">The constraint caps the audience</w:t>
            </w:r>
          </w:p>
        </w:tc>
        <w:tc>
          <w:tcPr>
            <w:tcW w:type="dxa" w:w="6400"/>
            <w:tcMar>
              <w:top w:type="dxa" w:w="90"/>
              <w:left w:type="dxa" w:w="110"/>
              <w:bottom w:type="dxa" w:w="90"/>
              <w:right w:type="dxa" w:w="110"/>
            </w:tcMar>
          </w:tcPr>
          <w:p>
            <w:pPr>
              <w:spacing w:after="0" w:line="250"/>
            </w:pPr>
            <w:r>
              <w:rPr>
                <w:rFonts w:ascii="Calibri" w:cs="Calibri" w:eastAsia="Calibri" w:hAnsi="Calibri"/>
                <w:b w:val="false"/>
                <w:bCs w:val="false"/>
                <w:color w:val="2D3436"/>
                <w:sz w:val="19"/>
                <w:szCs w:val="19"/>
              </w:rPr>
              <w:t xml:space="preserve">Twelve years of Clear says one-at-a-time earns a small devoted following, not a large one. The agent-review framing is the argument that this changes — it is the central bet, and it is a bet.</w:t>
            </w:r>
          </w:p>
        </w:tc>
      </w:tr>
    </w:tbl>
    <w:p>
      <w:pPr>
        <w:spacing w:after="140" w:before="0" w:line="280"/>
        <w:jc w:val="left"/>
      </w:pPr>
      <w:r>
        <w:rPr>
          <w:rFonts w:ascii="Calibri" w:cs="Calibri" w:eastAsia="Calibri" w:hAnsi="Calibri"/>
          <w:color w:val="2D3436"/>
          <w:sz w:val="21"/>
          <w:szCs w:val="21"/>
        </w:rPr>
        <w:t xml:space="preserve"/>
      </w:r>
    </w:p>
    <w:p>
      <w:pPr>
        <w:pStyle w:val="Heading1"/>
        <w:pBdr>
          <w:bottom w:val="single" w:color="F35343" w:sz="12" w:space="6"/>
        </w:pBdr>
        <w:spacing w:after="60" w:before="380"/>
      </w:pPr>
      <w:r>
        <w:rPr>
          <w:rFonts w:ascii="Georgia" w:cs="Georgia" w:eastAsia="Georgia" w:hAnsi="Georgia"/>
          <w:b/>
          <w:bCs/>
          <w:color w:val="2D3436"/>
          <w:sz w:val="30"/>
          <w:szCs w:val="30"/>
        </w:rPr>
        <w:t xml:space="preserve">Sources</w:t>
      </w:r>
    </w:p>
    <w:p>
      <w:pPr>
        <w:spacing w:after="120" w:before="0" w:line="280"/>
        <w:jc w:val="left"/>
      </w:pPr>
      <w:r>
        <w:rPr>
          <w:rFonts w:ascii="Calibri" w:cs="Calibri" w:eastAsia="Calibri" w:hAnsi="Calibri"/>
          <w:color w:val="2D3436"/>
          <w:sz w:val="21"/>
          <w:szCs w:val="21"/>
        </w:rPr>
        <w:t xml:space="preserve">Every figure in the deck and in this document traces to a primary source. Principal references:</w:t>
      </w:r>
    </w:p>
    <w:p>
      <w:pPr>
        <w:pStyle w:val="ListParagraph"/>
        <w:numPr>
          <w:ilvl w:val="0"/>
          <w:numId w:val="2"/>
        </w:numPr>
        <w:spacing w:after="90" w:line="280"/>
      </w:pPr>
      <w:r>
        <w:rPr>
          <w:rFonts w:ascii="Calibri" w:cs="Calibri" w:eastAsia="Calibri" w:hAnsi="Calibri"/>
          <w:color w:val="2D3436"/>
          <w:sz w:val="21"/>
          <w:szCs w:val="21"/>
        </w:rPr>
        <w:t xml:space="preserve">RevenueCat, State of Subscription Apps 2026 — conversion, LTV, churn, and MRR-milestone benchmarks.</w:t>
      </w:r>
    </w:p>
    <w:p>
      <w:pPr>
        <w:pStyle w:val="ListParagraph"/>
        <w:numPr>
          <w:ilvl w:val="0"/>
          <w:numId w:val="2"/>
        </w:numPr>
        <w:spacing w:after="90" w:line="280"/>
      </w:pPr>
      <w:r>
        <w:rPr>
          <w:rFonts w:ascii="Calibri" w:cs="Calibri" w:eastAsia="Calibri" w:hAnsi="Calibri"/>
          <w:color w:val="2D3436"/>
          <w:sz w:val="21"/>
          <w:szCs w:val="21"/>
        </w:rPr>
        <w:t xml:space="preserve">Adapty, Apple Ads benchmarks for subscription apps, May 2026 — CPI and install-to-paid.</w:t>
      </w:r>
    </w:p>
    <w:p>
      <w:pPr>
        <w:pStyle w:val="ListParagraph"/>
        <w:numPr>
          <w:ilvl w:val="0"/>
          <w:numId w:val="2"/>
        </w:numPr>
        <w:spacing w:after="90" w:line="280"/>
      </w:pPr>
      <w:r>
        <w:rPr>
          <w:rFonts w:ascii="Calibri" w:cs="Calibri" w:eastAsia="Calibri" w:hAnsi="Calibri"/>
          <w:color w:val="2D3436"/>
          <w:sz w:val="21"/>
          <w:szCs w:val="21"/>
        </w:rPr>
        <w:t xml:space="preserve">modelcontextprotocol.io — 2026-07-28 specification changelog, Tasks extension overview, extension client-support matrix; official registry API queried 2026-08-26.</w:t>
      </w:r>
    </w:p>
    <w:p>
      <w:pPr>
        <w:pStyle w:val="ListParagraph"/>
        <w:numPr>
          <w:ilvl w:val="0"/>
          <w:numId w:val="2"/>
        </w:numPr>
        <w:spacing w:after="90" w:line="280"/>
      </w:pPr>
      <w:r>
        <w:rPr>
          <w:rFonts w:ascii="Calibri" w:cs="Calibri" w:eastAsia="Calibri" w:hAnsi="Calibri"/>
          <w:color w:val="2D3436"/>
          <w:sz w:val="21"/>
          <w:szCs w:val="21"/>
        </w:rPr>
        <w:t xml:space="preserve">Anthropic, “Donating the Model Context Protocol and establishing the Agentic AI Foundation,” 2025-12-09.</w:t>
      </w:r>
    </w:p>
    <w:p>
      <w:pPr>
        <w:pStyle w:val="ListParagraph"/>
        <w:numPr>
          <w:ilvl w:val="0"/>
          <w:numId w:val="2"/>
        </w:numPr>
        <w:spacing w:after="90" w:line="280"/>
      </w:pPr>
      <w:r>
        <w:rPr>
          <w:rFonts w:ascii="Calibri" w:cs="Calibri" w:eastAsia="Calibri" w:hAnsi="Calibri"/>
          <w:color w:val="2D3436"/>
          <w:sz w:val="21"/>
          <w:szCs w:val="21"/>
        </w:rPr>
        <w:t xml:space="preserve">Microsoft Work Trend Index 2026 (agent growth, review behavior) and Breaking down the infinite workday, 2025-06-17 (message volume, interruption cadence).</w:t>
      </w:r>
    </w:p>
    <w:p>
      <w:pPr>
        <w:pStyle w:val="ListParagraph"/>
        <w:numPr>
          <w:ilvl w:val="0"/>
          <w:numId w:val="2"/>
        </w:numPr>
        <w:spacing w:after="90" w:line="280"/>
      </w:pPr>
      <w:r>
        <w:rPr>
          <w:rFonts w:ascii="Calibri" w:cs="Calibri" w:eastAsia="Calibri" w:hAnsi="Calibri"/>
          <w:color w:val="2D3436"/>
          <w:sz w:val="21"/>
          <w:szCs w:val="21"/>
        </w:rPr>
        <w:t xml:space="preserve">DORA, The ROI of AI-Assisted Software Development, 2026-05-11 — the “verification tax.”</w:t>
      </w:r>
    </w:p>
    <w:p>
      <w:pPr>
        <w:pStyle w:val="ListParagraph"/>
        <w:numPr>
          <w:ilvl w:val="0"/>
          <w:numId w:val="2"/>
        </w:numPr>
        <w:spacing w:after="90" w:line="280"/>
      </w:pPr>
      <w:r>
        <w:rPr>
          <w:rFonts w:ascii="Calibri" w:cs="Calibri" w:eastAsia="Calibri" w:hAnsi="Calibri"/>
          <w:color w:val="2D3436"/>
          <w:sz w:val="21"/>
          <w:szCs w:val="21"/>
        </w:rPr>
        <w:t xml:space="preserve">Linear changelog 2025-05-20; Notion release 2026-07-01; Asana investor release 2026-06-04; LangChain, “Introducing ambient agents,” 2025-01-14.</w:t>
      </w:r>
    </w:p>
    <w:p>
      <w:pPr>
        <w:pStyle w:val="ListParagraph"/>
        <w:numPr>
          <w:ilvl w:val="0"/>
          <w:numId w:val="2"/>
        </w:numPr>
        <w:spacing w:after="90" w:line="280"/>
      </w:pPr>
      <w:r>
        <w:rPr>
          <w:rFonts w:ascii="Calibri" w:cs="Calibri" w:eastAsia="Calibri" w:hAnsi="Calibri"/>
          <w:color w:val="2D3436"/>
          <w:sz w:val="21"/>
          <w:szCs w:val="21"/>
        </w:rPr>
        <w:t xml:space="preserve">Latka and company disclosures for Doist, Sunsama, Bear, Akiflow, Unito; TechCrunch and company releases for Reclaim.ai, Clockwise, Height, Motion, Granola.</w:t>
      </w:r>
    </w:p>
    <w:p>
      <w:pPr>
        <w:pStyle w:val="ListParagraph"/>
        <w:numPr>
          <w:ilvl w:val="0"/>
          <w:numId w:val="2"/>
        </w:numPr>
        <w:spacing w:after="90" w:line="280"/>
      </w:pPr>
      <w:r>
        <w:rPr>
          <w:rFonts w:ascii="Calibri" w:cs="Calibri" w:eastAsia="Calibri" w:hAnsi="Calibri"/>
          <w:color w:val="2D3436"/>
          <w:sz w:val="21"/>
          <w:szCs w:val="21"/>
        </w:rPr>
        <w:t xml:space="preserve">TechCrunch, 2024-01-08 (Clear relaunch and active-user figures); App Store listings retrieved 2026-08-26 (Structured, Clear, and the micro-tier).</w:t>
      </w:r>
    </w:p>
    <w:p>
      <w:pPr>
        <w:pStyle w:val="ListParagraph"/>
        <w:numPr>
          <w:ilvl w:val="0"/>
          <w:numId w:val="2"/>
        </w:numPr>
        <w:spacing w:after="90" w:line="280"/>
      </w:pPr>
      <w:r>
        <w:rPr>
          <w:rFonts w:ascii="Calibri" w:cs="Calibri" w:eastAsia="Calibri" w:hAnsi="Calibri"/>
          <w:color w:val="2D3436"/>
          <w:sz w:val="21"/>
          <w:szCs w:val="21"/>
        </w:rPr>
        <w:t xml:space="preserve">The one-job repository — git history, session logs, docs/ATTENTION-ROLLUP.md, docs/mail/, and development/coral-logs/ — for every claim in the execution and incident sections.</w:t>
      </w:r>
    </w:p>
    <w:p>
      <w:pPr>
        <w:pBdr>
          <w:bottom w:val="single" w:color="D3D9DF" w:sz="6" w:space="2"/>
        </w:pBdr>
        <w:spacing w:after="160" w:before="120"/>
      </w:pPr>
      <w:r>
        <w:rPr>
          <w:sz w:val="2"/>
          <w:szCs w:val="2"/>
        </w:rPr>
        <w:t xml:space="preserve"/>
      </w:r>
    </w:p>
    <w:p>
      <w:pPr>
        <w:spacing w:after="140" w:before="0" w:line="280"/>
        <w:jc w:val="left"/>
      </w:pPr>
      <w:r>
        <w:rPr>
          <w:rFonts w:ascii="Calibri" w:cs="Calibri" w:eastAsia="Calibri" w:hAnsi="Calibri"/>
          <w:i/>
          <w:iCs/>
          <w:color w:val="74787C"/>
          <w:sz w:val="19"/>
          <w:szCs w:val="19"/>
        </w:rPr>
        <w:t xml:space="preserve">Four statistics that previously appeared in One Job's own README — “23 minutes to refocus,” “single-tasking improves focus by 40%,” “reduces errors by 50%,” and “41% of to-do items are never completed” — were traced during this work and found to be misattributed or unsourceable. They have been removed rather than softened, and none of them appears in the deck.</w:t>
      </w:r>
    </w:p>
    <w:sectPr>
      <w:headerReference w:type="default" r:id="rId7"/>
      <w:footerReference w:type="default" r:id="rId8"/>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478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Calibri" w:cs="Calibri" w:eastAsia="Calibri" w:hAnsi="Calibri"/>
        <w:color w:val="74787C"/>
        <w:sz w:val="16"/>
        <w:szCs w:val="16"/>
      </w:rPr>
      <w:t xml:space="preserve">One Job  ·  Investor Reference  ·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Job — Investor Reference</dc:title>
  <dc:creator>Christian Crumlish</dc:creator>
  <cp:lastModifiedBy>Un-named</cp:lastModifiedBy>
  <cp:revision>1</cp:revision>
  <dcterms:created xsi:type="dcterms:W3CDTF">2026-08-26T22:27:48.241Z</dcterms:created>
  <dcterms:modified xsi:type="dcterms:W3CDTF">2026-08-26T22:27:48.242Z</dcterms:modified>
</cp:coreProperties>
</file>

<file path=docProps/custom.xml><?xml version="1.0" encoding="utf-8"?>
<Properties xmlns="http://schemas.openxmlformats.org/officeDocument/2006/custom-properties" xmlns:vt="http://schemas.openxmlformats.org/officeDocument/2006/docPropsVTypes"/>
</file>