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5424488</wp:posOffset>
                </wp:positionH>
                <wp:positionV relativeFrom="page">
                  <wp:posOffset>258128</wp:posOffset>
                </wp:positionV>
                <wp:extent cx="603885" cy="99707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5424488</wp:posOffset>
                </wp:positionH>
                <wp:positionV relativeFrom="page">
                  <wp:posOffset>258128</wp:posOffset>
                </wp:positionV>
                <wp:extent cx="603885" cy="997077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9970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452120</wp:posOffset>
                </wp:positionV>
                <wp:extent cx="6858000" cy="70681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7000" y="245825"/>
                          <a:ext cx="6858000" cy="7068185"/>
                          <a:chOff x="1917000" y="245825"/>
                          <a:chExt cx="6858000" cy="7068325"/>
                        </a:xfrm>
                      </wpg:grpSpPr>
                      <wpg:grpSp>
                        <wpg:cNvGrpSpPr/>
                        <wpg:grpSpPr>
                          <a:xfrm>
                            <a:off x="1917000" y="245844"/>
                            <a:ext cx="6858000" cy="7068312"/>
                            <a:chOff x="0" y="0"/>
                            <a:chExt cx="5561330" cy="540448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61325" cy="5404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557520" cy="5404485"/>
                            </a:xfrm>
                            <a:custGeom>
                              <a:rect b="b" l="l" r="r" t="t"/>
                              <a:pathLst>
                                <a:path extrusionOk="0" h="700" w="720">
                                  <a:moveTo>
                                    <a:pt x="0" y="0"/>
                                  </a:moveTo>
                                  <a:cubicBezTo>
                                    <a:pt x="0" y="644"/>
                                    <a:pt x="0" y="644"/>
                                    <a:pt x="0" y="644"/>
                                  </a:cubicBezTo>
                                  <a:cubicBezTo>
                                    <a:pt x="23" y="650"/>
                                    <a:pt x="62" y="658"/>
                                    <a:pt x="113" y="665"/>
                                  </a:cubicBezTo>
                                  <a:cubicBezTo>
                                    <a:pt x="250" y="685"/>
                                    <a:pt x="476" y="700"/>
                                    <a:pt x="720" y="644"/>
                                  </a:cubicBezTo>
                                  <a:cubicBezTo>
                                    <a:pt x="720" y="617"/>
                                    <a:pt x="720" y="617"/>
                                    <a:pt x="720" y="617"/>
                                  </a:cubicBezTo>
                                  <a:cubicBezTo>
                                    <a:pt x="720" y="0"/>
                                    <a:pt x="720" y="0"/>
                                    <a:pt x="72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485264"/>
                                </a:gs>
                                <a:gs pos="50000">
                                  <a:srgbClr val="27364D"/>
                                </a:gs>
                                <a:gs pos="100000">
                                  <a:srgbClr val="06203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77.9999923706054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ptos" w:cs="Aptos" w:eastAsia="Aptos" w:hAnsi="Apto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72"/>
                                    <w:vertAlign w:val="baseline"/>
                                  </w:rPr>
                                  <w:t xml:space="preserve">NovaLend Product Owner</w:t>
                                </w:r>
                              </w:p>
                            </w:txbxContent>
                          </wps:txbx>
                          <wps:bodyPr anchorCtr="0" anchor="b" bIns="1097275" lIns="914400" spcFirstLastPara="1" rIns="1097275" wrap="square" tIns="109727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76300" y="4769783"/>
                              <a:ext cx="4685030" cy="509905"/>
                            </a:xfrm>
                            <a:custGeom>
                              <a:rect b="b" l="l" r="r" t="t"/>
                              <a:pathLst>
                                <a:path extrusionOk="0" h="66" w="607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solidFill>
                              <a:schemeClr val="lt1">
                                <a:alpha val="30196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452120</wp:posOffset>
                </wp:positionV>
                <wp:extent cx="6858000" cy="706818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7068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5762625" cy="155829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9450" y="3706848"/>
                          <a:ext cx="5753100" cy="146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7f7f7f"/>
                                <w:sz w:val="18"/>
                                <w:vertAlign w:val="baseline"/>
                              </w:rPr>
                              <w:t xml:space="preserve">       </w:t>
                            </w:r>
                          </w:p>
                        </w:txbxContent>
                      </wps:txbx>
                      <wps:bodyPr anchorCtr="0" anchor="b" bIns="0" lIns="914400" spcFirstLastPara="1" rIns="10972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5762625" cy="155829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55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7940993</wp:posOffset>
                </wp:positionV>
                <wp:extent cx="5762625" cy="494157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69450" y="3537684"/>
                          <a:ext cx="5753100" cy="484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DECISION KIT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a02b93"/>
                                <w:sz w:val="24"/>
                                <w:vertAlign w:val="baseline"/>
                              </w:rPr>
                              <w:t xml:space="preserve">ABBAS ABDULSAMAD</w:t>
                            </w:r>
                          </w:p>
                        </w:txbxContent>
                      </wps:txbx>
                      <wps:bodyPr anchorCtr="0" anchor="t" bIns="0" lIns="914400" spcFirstLastPara="1" rIns="10972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7940993</wp:posOffset>
                </wp:positionV>
                <wp:extent cx="5762625" cy="494157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4941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70" w:right="0" w:hanging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TABLE OF CONTENTS</w:t>
      </w:r>
    </w:p>
    <w:p w:rsidR="00000000" w:rsidDel="00000000" w:rsidP="00000000" w:rsidRDefault="00000000" w:rsidRPr="00000000" w14:paraId="00000004">
      <w:pPr>
        <w:ind w:left="-270" w:right="0" w:hanging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1. Executive Summary &amp; Go / No-Go Recommendation                                             2-4</w:t>
      </w:r>
    </w:p>
    <w:p w:rsidR="00000000" w:rsidDel="00000000" w:rsidP="00000000" w:rsidRDefault="00000000" w:rsidRPr="00000000" w14:paraId="00000005">
      <w:pPr>
        <w:ind w:left="-450" w:right="0" w:hanging="720"/>
        <w:jc w:val="both"/>
        <w:rPr/>
      </w:pPr>
      <w:r w:rsidDel="00000000" w:rsidR="00000000" w:rsidRPr="00000000">
        <w:rPr>
          <w:rtl w:val="0"/>
        </w:rPr>
        <w:t xml:space="preserve">                 1.1 Recommendation Overview                                                                                       2</w:t>
      </w:r>
    </w:p>
    <w:p w:rsidR="00000000" w:rsidDel="00000000" w:rsidP="00000000" w:rsidRDefault="00000000" w:rsidRPr="00000000" w14:paraId="00000006">
      <w:pPr>
        <w:ind w:left="-450" w:right="0" w:hanging="720"/>
        <w:jc w:val="both"/>
        <w:rPr/>
      </w:pPr>
      <w:r w:rsidDel="00000000" w:rsidR="00000000" w:rsidRPr="00000000">
        <w:rPr>
          <w:rtl w:val="0"/>
        </w:rPr>
        <w:t xml:space="preserve">                 1.2 Detailed Rationale &amp; Risk Trade-Offs                                                                     2–3</w:t>
      </w:r>
    </w:p>
    <w:p w:rsidR="00000000" w:rsidDel="00000000" w:rsidP="00000000" w:rsidRDefault="00000000" w:rsidRPr="00000000" w14:paraId="00000007">
      <w:pPr>
        <w:ind w:left="-450" w:right="0" w:hanging="720"/>
        <w:jc w:val="both"/>
        <w:rPr/>
      </w:pPr>
      <w:r w:rsidDel="00000000" w:rsidR="00000000" w:rsidRPr="00000000">
        <w:rPr>
          <w:rtl w:val="0"/>
        </w:rPr>
        <w:t xml:space="preserve">                 1.3 Falsification &amp; Critical Hypotheses                                                                             4</w:t>
      </w:r>
    </w:p>
    <w:p w:rsidR="00000000" w:rsidDel="00000000" w:rsidP="00000000" w:rsidRDefault="00000000" w:rsidRPr="00000000" w14:paraId="00000008">
      <w:pPr>
        <w:ind w:left="-450" w:right="0" w:hanging="720"/>
        <w:jc w:val="both"/>
        <w:rPr/>
      </w:pPr>
      <w:r w:rsidDel="00000000" w:rsidR="00000000" w:rsidRPr="00000000">
        <w:rPr>
          <w:rtl w:val="0"/>
        </w:rPr>
        <w:t xml:space="preserve">                 1.4 Non-Negotiable Kill Criteria                                                                                        4</w:t>
      </w:r>
    </w:p>
    <w:p w:rsidR="00000000" w:rsidDel="00000000" w:rsidP="00000000" w:rsidRDefault="00000000" w:rsidRPr="00000000" w14:paraId="00000009">
      <w:pPr>
        <w:ind w:left="-270" w:right="0" w:hanging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2. Data-Driven Decision &amp; Funnel Analysis                                                                 4–5</w:t>
      </w:r>
    </w:p>
    <w:p w:rsidR="00000000" w:rsidDel="00000000" w:rsidP="00000000" w:rsidRDefault="00000000" w:rsidRPr="00000000" w14:paraId="0000000A">
      <w:pPr>
        <w:ind w:right="0"/>
        <w:jc w:val="both"/>
        <w:rPr/>
      </w:pPr>
      <w:r w:rsidDel="00000000" w:rsidR="00000000" w:rsidRPr="00000000">
        <w:rPr>
          <w:rtl w:val="0"/>
        </w:rPr>
        <w:t xml:space="preserve">2.1 Data Summary &amp; Funnel Performance Breakdown                                                   4</w:t>
      </w:r>
    </w:p>
    <w:p w:rsidR="00000000" w:rsidDel="00000000" w:rsidP="00000000" w:rsidRDefault="00000000" w:rsidRPr="00000000" w14:paraId="0000000B">
      <w:pPr>
        <w:ind w:right="0"/>
        <w:jc w:val="both"/>
        <w:rPr/>
      </w:pPr>
      <w:r w:rsidDel="00000000" w:rsidR="00000000" w:rsidRPr="00000000">
        <w:rPr>
          <w:rtl w:val="0"/>
        </w:rPr>
        <w:t xml:space="preserve">2.2 Funnel Visualization                                                                                                   5</w:t>
      </w:r>
    </w:p>
    <w:p w:rsidR="00000000" w:rsidDel="00000000" w:rsidP="00000000" w:rsidRDefault="00000000" w:rsidRPr="00000000" w14:paraId="0000000C">
      <w:pPr>
        <w:ind w:right="0"/>
        <w:jc w:val="both"/>
        <w:rPr/>
      </w:pPr>
      <w:r w:rsidDel="00000000" w:rsidR="00000000" w:rsidRPr="00000000">
        <w:rPr>
          <w:rtl w:val="0"/>
        </w:rPr>
        <w:t xml:space="preserve">2.3 Where Does the Real Problem Sit?                                                                           5</w:t>
      </w:r>
    </w:p>
    <w:p w:rsidR="00000000" w:rsidDel="00000000" w:rsidP="00000000" w:rsidRDefault="00000000" w:rsidRPr="00000000" w14:paraId="0000000D">
      <w:pPr>
        <w:ind w:left="-90" w:right="0" w:hanging="1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Product Requirement Document (PRD)                                                                    5–7</w:t>
      </w:r>
    </w:p>
    <w:p w:rsidR="00000000" w:rsidDel="00000000" w:rsidP="00000000" w:rsidRDefault="00000000" w:rsidRPr="00000000" w14:paraId="0000000E">
      <w:pPr>
        <w:ind w:right="0"/>
        <w:jc w:val="both"/>
        <w:rPr/>
      </w:pPr>
      <w:r w:rsidDel="00000000" w:rsidR="00000000" w:rsidRPr="00000000">
        <w:rPr>
          <w:rtl w:val="0"/>
        </w:rPr>
        <w:t xml:space="preserve">3.1 Problem Statement                                                                                                     5</w:t>
      </w:r>
    </w:p>
    <w:p w:rsidR="00000000" w:rsidDel="00000000" w:rsidP="00000000" w:rsidRDefault="00000000" w:rsidRPr="00000000" w14:paraId="0000000F">
      <w:pPr>
        <w:ind w:right="0"/>
        <w:jc w:val="both"/>
        <w:rPr/>
      </w:pPr>
      <w:r w:rsidDel="00000000" w:rsidR="00000000" w:rsidRPr="00000000">
        <w:rPr>
          <w:rtl w:val="0"/>
        </w:rPr>
        <w:t xml:space="preserve">3.2 Objectives &amp; Success Metrics                                                                                    6</w:t>
      </w:r>
    </w:p>
    <w:p w:rsidR="00000000" w:rsidDel="00000000" w:rsidP="00000000" w:rsidRDefault="00000000" w:rsidRPr="00000000" w14:paraId="00000010">
      <w:pPr>
        <w:ind w:right="0"/>
        <w:jc w:val="both"/>
        <w:rPr/>
      </w:pPr>
      <w:r w:rsidDel="00000000" w:rsidR="00000000" w:rsidRPr="00000000">
        <w:rPr>
          <w:rtl w:val="0"/>
        </w:rPr>
        <w:t xml:space="preserve">3.3 Target Scope &amp; User Stories                                                                                      6</w:t>
      </w:r>
    </w:p>
    <w:p w:rsidR="00000000" w:rsidDel="00000000" w:rsidP="00000000" w:rsidRDefault="00000000" w:rsidRPr="00000000" w14:paraId="00000011">
      <w:pPr>
        <w:ind w:right="0"/>
        <w:jc w:val="both"/>
        <w:rPr/>
      </w:pPr>
      <w:r w:rsidDel="00000000" w:rsidR="00000000" w:rsidRPr="00000000">
        <w:rPr>
          <w:rtl w:val="0"/>
        </w:rPr>
        <w:t xml:space="preserve">3.4 Dynamic Loan Slider &amp; Flexible Tenure                                                                     6</w:t>
      </w:r>
    </w:p>
    <w:p w:rsidR="00000000" w:rsidDel="00000000" w:rsidP="00000000" w:rsidRDefault="00000000" w:rsidRPr="00000000" w14:paraId="00000012">
      <w:pPr>
        <w:ind w:right="0"/>
        <w:jc w:val="both"/>
        <w:rPr/>
      </w:pPr>
      <w:r w:rsidDel="00000000" w:rsidR="00000000" w:rsidRPr="00000000">
        <w:rPr>
          <w:rtl w:val="0"/>
        </w:rPr>
        <w:t xml:space="preserve">3.5 Mandatory Smart Repayment Linkage                                                                      7</w:t>
      </w:r>
    </w:p>
    <w:p w:rsidR="00000000" w:rsidDel="00000000" w:rsidP="00000000" w:rsidRDefault="00000000" w:rsidRPr="00000000" w14:paraId="00000013">
      <w:pPr>
        <w:ind w:right="0"/>
        <w:jc w:val="both"/>
        <w:rPr/>
      </w:pPr>
      <w:r w:rsidDel="00000000" w:rsidR="00000000" w:rsidRPr="00000000">
        <w:rPr>
          <w:rtl w:val="0"/>
        </w:rPr>
        <w:t xml:space="preserve">3.6 Risk-Tier-Based Credit Capping                                                                                7</w:t>
      </w:r>
    </w:p>
    <w:p w:rsidR="00000000" w:rsidDel="00000000" w:rsidP="00000000" w:rsidRDefault="00000000" w:rsidRPr="00000000" w14:paraId="00000014">
      <w:pPr>
        <w:ind w:left="-27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Scored Backlog Prioritization (RICE Framework)                                                       8</w:t>
      </w:r>
    </w:p>
    <w:p w:rsidR="00000000" w:rsidDel="00000000" w:rsidP="00000000" w:rsidRDefault="00000000" w:rsidRPr="00000000" w14:paraId="00000015">
      <w:pPr>
        <w:ind w:left="-27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Stakeholder                                                                                                                9-11</w:t>
      </w:r>
    </w:p>
    <w:p w:rsidR="00000000" w:rsidDel="00000000" w:rsidP="00000000" w:rsidRDefault="00000000" w:rsidRPr="00000000" w14:paraId="00000016">
      <w:pPr>
        <w:ind w:right="0"/>
        <w:jc w:val="both"/>
        <w:rPr/>
      </w:pPr>
      <w:r w:rsidDel="00000000" w:rsidR="00000000" w:rsidRPr="00000000">
        <w:rPr>
          <w:rtl w:val="0"/>
        </w:rPr>
        <w:t xml:space="preserve">5.1 Engineering Lead                                                                                                       9</w:t>
      </w:r>
    </w:p>
    <w:p w:rsidR="00000000" w:rsidDel="00000000" w:rsidP="00000000" w:rsidRDefault="00000000" w:rsidRPr="00000000" w14:paraId="00000017">
      <w:pPr>
        <w:ind w:right="0"/>
        <w:jc w:val="both"/>
        <w:rPr/>
      </w:pPr>
      <w:r w:rsidDel="00000000" w:rsidR="00000000" w:rsidRPr="00000000">
        <w:rPr>
          <w:rtl w:val="0"/>
        </w:rPr>
        <w:t xml:space="preserve">5.2 Risk &amp; Compliance Lead                                                                                          10</w:t>
      </w:r>
    </w:p>
    <w:p w:rsidR="00000000" w:rsidDel="00000000" w:rsidP="00000000" w:rsidRDefault="00000000" w:rsidRPr="00000000" w14:paraId="00000018">
      <w:pPr>
        <w:ind w:right="0"/>
        <w:jc w:val="both"/>
        <w:rPr/>
      </w:pPr>
      <w:r w:rsidDel="00000000" w:rsidR="00000000" w:rsidRPr="00000000">
        <w:rPr>
          <w:rtl w:val="0"/>
        </w:rPr>
        <w:t xml:space="preserve">5.3 Executive Sponsor                                                                                                    11</w:t>
      </w:r>
    </w:p>
    <w:p w:rsidR="00000000" w:rsidDel="00000000" w:rsidP="00000000" w:rsidRDefault="00000000" w:rsidRPr="00000000" w14:paraId="00000019">
      <w:pPr>
        <w:ind w:left="-27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Experimentation Design: Dynamic Offer Validation (A/B Test)                                12</w:t>
      </w:r>
    </w:p>
    <w:p w:rsidR="00000000" w:rsidDel="00000000" w:rsidP="00000000" w:rsidRDefault="00000000" w:rsidRPr="00000000" w14:paraId="0000001A">
      <w:pPr>
        <w:ind w:right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NovaLend Product Owner Decision Kit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Incoming Product Owner, NovaLend (FirstBank Digital Factory)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Scenario: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FirstBank NovaPay Super-App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Target: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6-Week CBN Regulatory Deadline &amp; Beta Performance Optimization</w:t>
      </w:r>
    </w:p>
    <w:p w:rsidR="00000000" w:rsidDel="00000000" w:rsidP="00000000" w:rsidRDefault="00000000" w:rsidRPr="00000000" w14:paraId="00000020">
      <w:pPr>
        <w:pStyle w:val="Heading1"/>
        <w:rPr>
          <w:sz w:val="32"/>
          <w:szCs w:val="32"/>
        </w:rPr>
      </w:pPr>
      <w:bookmarkStart w:colFirst="0" w:colLast="0" w:name="_yxhtypfsk9zs" w:id="0"/>
      <w:bookmarkEnd w:id="0"/>
      <w:r w:rsidDel="00000000" w:rsidR="00000000" w:rsidRPr="00000000">
        <w:rPr>
          <w:sz w:val="32"/>
          <w:szCs w:val="32"/>
          <w:rtl w:val="0"/>
        </w:rPr>
        <w:t xml:space="preserve">1. Executive Summary &amp; Go / No-Go Recommendation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Executive Go / No-Go Recommendation: LAUNCH WITH RESTRICTIONS</w:t>
      </w:r>
    </w:p>
    <w:p w:rsidR="00000000" w:rsidDel="00000000" w:rsidP="00000000" w:rsidRDefault="00000000" w:rsidRPr="00000000" w14:paraId="00000022">
      <w:pPr>
        <w:pStyle w:val="Heading2"/>
        <w:rPr>
          <w:sz w:val="28"/>
          <w:szCs w:val="28"/>
        </w:rPr>
      </w:pPr>
      <w:bookmarkStart w:colFirst="0" w:colLast="0" w:name="_srbkdf6u45cm" w:id="1"/>
      <w:bookmarkEnd w:id="1"/>
      <w:r w:rsidDel="00000000" w:rsidR="00000000" w:rsidRPr="00000000">
        <w:rPr>
          <w:sz w:val="28"/>
          <w:szCs w:val="28"/>
          <w:rtl w:val="0"/>
        </w:rPr>
        <w:t xml:space="preserve">Recommendation Overview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recommend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Conditional / Restricted Launch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NovaLend at the 6-week CBN regulatory reporting deadline, rather than a full mass-market rollout or a complete feature pause.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CURRENT BETA STATE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Default Rate: 14%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Disbursed: 610 / 12,400 invited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Offer Acceptance: 33.9%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CBN Deadline: 6 Weeks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6-WEEK CONDITIONAL LAUNCH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Cap Max Loan: ₦15,000 (from ₦50,000)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Add Auto-Debit Mandate (NIBSS Direct Debit)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Tighten Risk Cutoff (Risk score Tier 1-2 only)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Target Default Rate: ≤ 5.8%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sz w:val="28"/>
          <w:szCs w:val="28"/>
        </w:rPr>
      </w:pPr>
      <w:bookmarkStart w:colFirst="0" w:colLast="0" w:name="_id028apv6fn5" w:id="2"/>
      <w:bookmarkEnd w:id="2"/>
      <w:r w:rsidDel="00000000" w:rsidR="00000000" w:rsidRPr="00000000">
        <w:rPr>
          <w:sz w:val="28"/>
          <w:szCs w:val="28"/>
          <w:rtl w:val="0"/>
        </w:rPr>
        <w:t xml:space="preserve">Detailed Rationale &amp; Risk Trade-Offs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Full Launch?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Unacceptable Credit Loss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current 30-day default rate sits at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which is 2.33x (233%) higher than Risk’s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6%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tolerance ceiling. Scaling this model unadjusted to FirstBank's broader base would lead to severe capital erosion and regulatory scrutiny from the Central Bank of Nigeria (CBN).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Adverse Selection in Offer Acceptance: Only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33.9%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 users who received an offer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accepted it (640 out of 1,890). High-risk borrowers are self-selecting into accepting high-friction, higher-interest micro-loans, while lower-risk borrowers abandon the funnel due to mismatched loan terms or repayment friction. 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Full Pause?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Strategic &amp; Regulatory Loss: Formally pausing NovaLend forfeits the 6-week CBN submission window, surrenders super-app momentum to competitors (e.g., FairMoney, PalmPay, Kuda), and stalls NovaPay’s cross-selling flywheel across NovaWallet, NovaSave, and NovaBiz.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Fixable Failure Modes: Analysis shows the high default rate is driven primarily by underwriting miscalibration and post-disbursement repayment friction—not systemic fraud or fundamentally defective user acquisition.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Why Launch with Restrictions?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 Mitigation: By capping loan exposure to Tier-1/Tier-2 credit scores, enforcing NIBSS Direct Debit / mandate linkage at acceptance, and reducing maximum initial principal limits, we bring expected default rates down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5.2%–5.8%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within 4 weeks.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CBN Compliance: Meets CBN's mandatory requirement for a fully approved, operational risk framework with documented governance without putting FirstBank capital at unhedged risk. </w:t>
      </w:r>
    </w:p>
    <w:p w:rsidR="00000000" w:rsidDel="00000000" w:rsidP="00000000" w:rsidRDefault="00000000" w:rsidRPr="00000000" w14:paraId="00000039">
      <w:pPr>
        <w:pStyle w:val="Heading2"/>
        <w:rPr>
          <w:sz w:val="28"/>
          <w:szCs w:val="28"/>
        </w:rPr>
      </w:pPr>
      <w:bookmarkStart w:colFirst="0" w:colLast="0" w:name="_3xggccxrvavv" w:id="3"/>
      <w:bookmarkEnd w:id="3"/>
      <w:r w:rsidDel="00000000" w:rsidR="00000000" w:rsidRPr="00000000">
        <w:rPr>
          <w:sz w:val="28"/>
          <w:szCs w:val="28"/>
          <w:rtl w:val="0"/>
        </w:rPr>
        <w:t xml:space="preserve">What I Would Want to Be Wrong About (Falsification &amp; Critical Hypotheses)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Willingness vs. Ability to Pay: I am assuming defaults are largely due to friction in repayment collection (lack of automated collection/direct debit). If defaults are driven by fundamental insolvency/fraud (inability to pay or intentional bad debt), tightening repayment UX will not drop defaults below 6%.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Impact of Repayment Friction on Offer Acceptance: I assume requiring a pre-authorized direct debit mandate will drop offer acceptance from 33.9% to ~25%, but dramatically raise cohort quality. If offer acceptance collapses below 15%, unit economics become unviable.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sz w:val="28"/>
          <w:szCs w:val="28"/>
        </w:rPr>
      </w:pPr>
      <w:bookmarkStart w:colFirst="0" w:colLast="0" w:name="_30l0gto50kxe" w:id="4"/>
      <w:bookmarkEnd w:id="4"/>
      <w:r w:rsidDel="00000000" w:rsidR="00000000" w:rsidRPr="00000000">
        <w:rPr>
          <w:sz w:val="28"/>
          <w:szCs w:val="28"/>
          <w:rtl w:val="0"/>
        </w:rPr>
        <w:t xml:space="preserve">Non-Negotiable Kill Criteria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NovaLend Kill Switch Policy: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If at Week 4 post-restriction, the 14-day rolling delinquency (PAR-14) on new cohorts exceeds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or if CBN rejects the revised risk policy submission during pre-filing review, NovaLend will immediately freeze all new loan disbursements, switch to collection-only mode, and formally petition CBN for an extension or temporary product freeze.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32"/>
          <w:szCs w:val="32"/>
        </w:rPr>
      </w:pPr>
      <w:bookmarkStart w:colFirst="0" w:colLast="0" w:name="_mzd56zcqfi5z" w:id="5"/>
      <w:bookmarkEnd w:id="5"/>
      <w:r w:rsidDel="00000000" w:rsidR="00000000" w:rsidRPr="00000000">
        <w:rPr>
          <w:sz w:val="32"/>
          <w:szCs w:val="32"/>
          <w:rtl w:val="0"/>
        </w:rPr>
        <w:t xml:space="preserve">2. Data-Driven Decision &amp; Funnel Analysis</w:t>
      </w:r>
    </w:p>
    <w:p w:rsidR="00000000" w:rsidDel="00000000" w:rsidP="00000000" w:rsidRDefault="00000000" w:rsidRPr="00000000" w14:paraId="00000043">
      <w:pPr>
        <w:pStyle w:val="Heading2"/>
        <w:rPr>
          <w:sz w:val="28"/>
          <w:szCs w:val="28"/>
        </w:rPr>
      </w:pPr>
      <w:bookmarkStart w:colFirst="0" w:colLast="0" w:name="_4cssp39nhp0v" w:id="6"/>
      <w:bookmarkEnd w:id="6"/>
      <w:r w:rsidDel="00000000" w:rsidR="00000000" w:rsidRPr="00000000">
        <w:rPr>
          <w:sz w:val="28"/>
          <w:szCs w:val="28"/>
          <w:rtl w:val="0"/>
        </w:rPr>
        <w:t xml:space="preserve">Data Summary &amp; Funnel Performance Breakdown</w:t>
      </w:r>
    </w:p>
    <w:tbl>
      <w:tblPr>
        <w:tblStyle w:val="Table1"/>
        <w:tblW w:w="9340.0" w:type="dxa"/>
        <w:jc w:val="left"/>
        <w:tblLayout w:type="fixed"/>
        <w:tblLook w:val="0400"/>
      </w:tblPr>
      <w:tblGrid>
        <w:gridCol w:w="1261"/>
        <w:gridCol w:w="1139"/>
        <w:gridCol w:w="1035"/>
        <w:gridCol w:w="1433"/>
        <w:gridCol w:w="4472"/>
        <w:tblGridChange w:id="0">
          <w:tblGrid>
            <w:gridCol w:w="1261"/>
            <w:gridCol w:w="1139"/>
            <w:gridCol w:w="1035"/>
            <w:gridCol w:w="1433"/>
            <w:gridCol w:w="447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Funnel Stage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Absolute Users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Step Conversion Rate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Cumulative Conversion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Primary Friction / Failure Driver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Invited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Initial target audience pool.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Started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Major Drop-off #1 (75% Loss): Low intent, hidden value proposition, or push notification fatigue.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Completed KYC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2,050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66.10%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16.50%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BVN/NIN lookup latency or document verification friction.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Received an 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92.20%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Hard credit underwriting drop (7.8% rejected).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Accepted 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Major Drop-off #2 (66.1% Loss): Misaligned terms, unfavorable interest rate, or rigid duration.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Disbursed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95.30%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Operational delay / wallet account balance credit latency.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Portfolio Quality Metric: 30-Day Default Rate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(Target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Total Default Gap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+8.0%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(+133% over risk budget). </w:t>
      </w:r>
    </w:p>
    <w:p w:rsidR="00000000" w:rsidDel="00000000" w:rsidP="00000000" w:rsidRDefault="00000000" w:rsidRPr="00000000" w14:paraId="00000069">
      <w:pPr>
        <w:pStyle w:val="Heading2"/>
        <w:rPr>
          <w:sz w:val="28"/>
          <w:szCs w:val="28"/>
        </w:rPr>
      </w:pPr>
      <w:bookmarkStart w:colFirst="0" w:colLast="0" w:name="_2bf3xbstzimx" w:id="7"/>
      <w:bookmarkEnd w:id="7"/>
      <w:r w:rsidDel="00000000" w:rsidR="00000000" w:rsidRPr="00000000">
        <w:rPr>
          <w:sz w:val="28"/>
          <w:szCs w:val="28"/>
          <w:rtl w:val="0"/>
        </w:rPr>
        <w:t xml:space="preserve">Funnel Visualization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3317678" cy="23223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678" cy="232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sz w:val="28"/>
          <w:szCs w:val="28"/>
        </w:rPr>
      </w:pPr>
      <w:bookmarkStart w:colFirst="0" w:colLast="0" w:name="_yb3g28kcfkug" w:id="8"/>
      <w:bookmarkEnd w:id="8"/>
      <w:r w:rsidDel="00000000" w:rsidR="00000000" w:rsidRPr="00000000">
        <w:rPr>
          <w:sz w:val="28"/>
          <w:szCs w:val="28"/>
          <w:rtl w:val="0"/>
        </w:rPr>
        <w:t xml:space="preserve">Where Does the Real Problem Sit?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 The Core Risk Problem: Underwriting Miscalibration &amp; Adverse Selection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Point: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14% Default Rate vs 6% Target (85 borrowers in default out of 610 disbursed). 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Diagnosis: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alternative scoring engine built from NovaWallet transaction history is over-promising credit limits to unvetted users. Furthermore, because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66.1%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 offer recipients reject their offer (1,250/1,890), the system suffers from adverse selection: credit-worthy users walk away due to rigid repayment schedules or high interest rates, leaving a disproportionate ratio of desperate/high-risk users accepting the loan. 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II. The Conversion Bottleneck: Top-of-Funnel Drop-Off (25% Start Rate)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Point: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9,300 out of 12,400 invited users (75%) never started the application. 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Diagnosis: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In-app notifications or banners fail to convey instant eligibility or value, or users fear immediate credit checks impacting their FirstBank standing. </w:t>
      </w:r>
    </w:p>
    <w:p w:rsidR="00000000" w:rsidDel="00000000" w:rsidP="00000000" w:rsidRDefault="00000000" w:rsidRPr="00000000" w14:paraId="00000072">
      <w:pPr>
        <w:pStyle w:val="Heading1"/>
        <w:rPr>
          <w:sz w:val="32"/>
          <w:szCs w:val="32"/>
        </w:rPr>
      </w:pPr>
      <w:bookmarkStart w:colFirst="0" w:colLast="0" w:name="_m3veozrxvp8h" w:id="9"/>
      <w:bookmarkEnd w:id="9"/>
      <w:r w:rsidDel="00000000" w:rsidR="00000000" w:rsidRPr="00000000">
        <w:rPr>
          <w:sz w:val="32"/>
          <w:szCs w:val="32"/>
          <w:rtl w:val="0"/>
        </w:rPr>
        <w:t xml:space="preserve">3. Product Requirement Document (PRD)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PRD: NovaLend Dynamic Offer &amp; Smart Repayment Engine v1.0</w:t>
      </w:r>
    </w:p>
    <w:tbl>
      <w:tblPr>
        <w:tblStyle w:val="Table2"/>
        <w:tblW w:w="7474.0" w:type="dxa"/>
        <w:jc w:val="left"/>
        <w:tblLayout w:type="fixed"/>
        <w:tblLook w:val="0400"/>
      </w:tblPr>
      <w:tblGrid>
        <w:gridCol w:w="2730"/>
        <w:gridCol w:w="4744"/>
        <w:tblGridChange w:id="0">
          <w:tblGrid>
            <w:gridCol w:w="2730"/>
            <w:gridCol w:w="4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Metadata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 Launch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Week 4 (2 weeks before CBN Filing Deadline)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Owner, NovaLend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NovaLend Tech Lead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&amp; 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Head of Risk, FirstBank Digital Factory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sz w:val="28"/>
          <w:szCs w:val="28"/>
        </w:rPr>
      </w:pPr>
      <w:bookmarkStart w:colFirst="0" w:colLast="0" w:name="_i8uev2yh3tky" w:id="10"/>
      <w:bookmarkEnd w:id="10"/>
      <w:r w:rsidDel="00000000" w:rsidR="00000000" w:rsidRPr="00000000">
        <w:rPr>
          <w:sz w:val="28"/>
          <w:szCs w:val="28"/>
          <w:rtl w:val="0"/>
        </w:rPr>
        <w:t xml:space="preserve">I. Problem Statement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NovaLend’s initial beta results show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33.9%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offer acceptance rate and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30-day default rate (target: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The current offer screen presents a single rigid loan amount and term with manual repayment options. This causes lower-risk users to abandon the funnel while high-risk users accept loans without automated collection mechanisms, leading to severe portfolio underperformance. </w:t>
      </w:r>
    </w:p>
    <w:p w:rsidR="00000000" w:rsidDel="00000000" w:rsidP="00000000" w:rsidRDefault="00000000" w:rsidRPr="00000000" w14:paraId="00000081">
      <w:pPr>
        <w:pStyle w:val="Heading2"/>
        <w:rPr>
          <w:sz w:val="28"/>
          <w:szCs w:val="28"/>
        </w:rPr>
      </w:pPr>
      <w:bookmarkStart w:colFirst="0" w:colLast="0" w:name="_4bejr25qheci" w:id="11"/>
      <w:bookmarkEnd w:id="11"/>
      <w:r w:rsidDel="00000000" w:rsidR="00000000" w:rsidRPr="00000000">
        <w:rPr>
          <w:sz w:val="28"/>
          <w:szCs w:val="28"/>
          <w:rtl w:val="0"/>
        </w:rPr>
        <w:t xml:space="preserve">II. Objectives &amp; Success Metrics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Primary Metrics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30-Day Default Rate: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Reduce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14.0% to ≤ 5.8%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new cohorts. 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Auto-Debit Enrollment Rate: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mandatory opt-in at loan acceptance.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Offer Acceptance Rate: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Increase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33.9% to ≥ 45.0%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among Tier-1 and Tier-2 credit risk profiles. 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Counter Metrics (Guardrails)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KYC Drop-off: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Ensure overall KYC completion rate does not drop below current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66.1%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level. 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Disbursement Latency: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Maintain disbursement completion time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&lt; 15 seconds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98%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accepted offers.</w:t>
      </w:r>
    </w:p>
    <w:p w:rsidR="00000000" w:rsidDel="00000000" w:rsidP="00000000" w:rsidRDefault="00000000" w:rsidRPr="00000000" w14:paraId="00000089">
      <w:pPr>
        <w:pStyle w:val="Heading2"/>
        <w:rPr>
          <w:sz w:val="28"/>
          <w:szCs w:val="28"/>
        </w:rPr>
      </w:pPr>
      <w:bookmarkStart w:colFirst="0" w:colLast="0" w:name="_2fb6ozty19ik" w:id="12"/>
      <w:bookmarkEnd w:id="12"/>
      <w:r w:rsidDel="00000000" w:rsidR="00000000" w:rsidRPr="00000000">
        <w:rPr>
          <w:sz w:val="28"/>
          <w:szCs w:val="28"/>
          <w:rtl w:val="0"/>
        </w:rPr>
        <w:t xml:space="preserve">III. Target Scope &amp; User Stories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 of Scope (V1 Launch)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Employer salary-deduction integrations outside FirstBank accounts.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loan restructuring or manual extension requests post-disbursement.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Physical collateral submission or agent-assisted offline collection.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Stories &amp; Acceptance Criteria</w:t>
      </w:r>
    </w:p>
    <w:p w:rsidR="00000000" w:rsidDel="00000000" w:rsidP="00000000" w:rsidRDefault="00000000" w:rsidRPr="00000000" w14:paraId="0000008F">
      <w:pPr>
        <w:pStyle w:val="Heading2"/>
        <w:rPr>
          <w:sz w:val="28"/>
          <w:szCs w:val="28"/>
        </w:rPr>
      </w:pPr>
      <w:bookmarkStart w:colFirst="0" w:colLast="0" w:name="_7w0m2gmu6v83" w:id="13"/>
      <w:bookmarkEnd w:id="13"/>
      <w:r w:rsidDel="00000000" w:rsidR="00000000" w:rsidRPr="00000000">
        <w:rPr>
          <w:sz w:val="28"/>
          <w:szCs w:val="28"/>
          <w:rtl w:val="0"/>
        </w:rPr>
        <w:t xml:space="preserve">User Story 1: Dynamic Loan Slider &amp; Flexible Tenure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NovaPay user receiving a loan offer,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adjust the loan amount and choose between 7-day, 14-day, and 30-day repayment cycles,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select a debt burden aligned with my cash flow.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System displays a slider allowing the user to select any amount between ₦2,000 and their calculated maximum risk-tier limit (capped at ₦15,000 during restricted launch).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Total repayable amount (Principal + Interest + Processing Fee) updates dynamically in real-time (&lt; 100ms) upon adjusting loan amount or tenure.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Clear breakdown of key dates: Disbursement Date, Repayment Due Date, Grace Period (2 days), and Daily Late Fee percentage (0.5%/day).</w:t>
      </w:r>
    </w:p>
    <w:p w:rsidR="00000000" w:rsidDel="00000000" w:rsidP="00000000" w:rsidRDefault="00000000" w:rsidRPr="00000000" w14:paraId="00000097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sz w:val="28"/>
          <w:szCs w:val="28"/>
        </w:rPr>
      </w:pPr>
      <w:bookmarkStart w:colFirst="0" w:colLast="0" w:name="_a4kbm8ul8yt4" w:id="14"/>
      <w:bookmarkEnd w:id="14"/>
      <w:r w:rsidDel="00000000" w:rsidR="00000000" w:rsidRPr="00000000">
        <w:rPr>
          <w:sz w:val="28"/>
          <w:szCs w:val="28"/>
          <w:rtl w:val="0"/>
        </w:rPr>
        <w:t xml:space="preserve">User Story 2: Mandatory Smart Repayment Linkage (NIBSS Direct Debit / Card Tokenization)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Risk Manager,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borrowers to authorize an automated direct debit mandate prior to loan disbursement,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collections can be processed automatically on the due date.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Before clicking "Accept &amp; Disburse", the user must select a primary repayment source (FirstBank Account, Linked Debit Card, or NIBSS Direct Debit).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System triggers a ₦50 test auth/tokenization step for linked debit cards to verify account validity.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Disbursement button remains disabled until the automated repayment agreement checkbox and mandate authorization are verified via backend API.</w:t>
      </w:r>
    </w:p>
    <w:p w:rsidR="00000000" w:rsidDel="00000000" w:rsidP="00000000" w:rsidRDefault="00000000" w:rsidRPr="00000000" w14:paraId="000000A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sz w:val="28"/>
          <w:szCs w:val="28"/>
        </w:rPr>
      </w:pPr>
      <w:bookmarkStart w:colFirst="0" w:colLast="0" w:name="_o4lrrbygf5t9" w:id="15"/>
      <w:bookmarkEnd w:id="15"/>
      <w:r w:rsidDel="00000000" w:rsidR="00000000" w:rsidRPr="00000000">
        <w:rPr>
          <w:sz w:val="28"/>
          <w:szCs w:val="28"/>
          <w:rtl w:val="0"/>
        </w:rPr>
        <w:t xml:space="preserve">User Story 3: Risk-Tier Based Credit Capping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Risk Officer,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the system to automatically block loan offers for users falling in Risk Tier 4 (High Risk),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unvetted capital exposure is minimized.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Users categorized in Tier 4 receive an empathetic rejection/nudge screen: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"We can't offer a loan right now. Build your score by using NovaWallet for bills and savings!"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 1.2: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Tier 3 users are offered micro-loans capped at ₦5,000 maximum with mandatory 7-day tenure.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sz w:val="32"/>
          <w:szCs w:val="32"/>
        </w:rPr>
      </w:pPr>
      <w:bookmarkStart w:colFirst="0" w:colLast="0" w:name="_9l8otr97esxn" w:id="16"/>
      <w:bookmarkEnd w:id="16"/>
      <w:r w:rsidDel="00000000" w:rsidR="00000000" w:rsidRPr="00000000">
        <w:rPr>
          <w:sz w:val="32"/>
          <w:szCs w:val="32"/>
          <w:rtl w:val="0"/>
        </w:rPr>
        <w:t xml:space="preserve">4. Scored Backlog Prioritization (RICE Framework)</w:t>
      </w:r>
    </w:p>
    <w:tbl>
      <w:tblPr>
        <w:tblStyle w:val="Table3"/>
        <w:tblW w:w="9340.0" w:type="dxa"/>
        <w:jc w:val="left"/>
        <w:tblLayout w:type="fixed"/>
        <w:tblLook w:val="0400"/>
      </w:tblPr>
      <w:tblGrid>
        <w:gridCol w:w="543"/>
        <w:gridCol w:w="3357"/>
        <w:gridCol w:w="1192"/>
        <w:gridCol w:w="994"/>
        <w:gridCol w:w="979"/>
        <w:gridCol w:w="525"/>
        <w:gridCol w:w="829"/>
        <w:gridCol w:w="921"/>
        <w:tblGridChange w:id="0">
          <w:tblGrid>
            <w:gridCol w:w="543"/>
            <w:gridCol w:w="3357"/>
            <w:gridCol w:w="1192"/>
            <w:gridCol w:w="994"/>
            <w:gridCol w:w="979"/>
            <w:gridCol w:w="525"/>
            <w:gridCol w:w="829"/>
            <w:gridCol w:w="92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SN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firstLine="201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Feature / Fix Candidate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ind w:firstLine="201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Reach (Monthly Users)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Confidence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Effort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RICE Score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 Rank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Mandatory Auto-Debit &amp; Direct Debit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2,835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Tightened Underwriting Cutoff (Block Tier-4)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5,670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Dynamic Loan Slider &amp; Flexible Tenure (PRD)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1-Click BVN/NIN Auto-Fill in KYC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Automated Repayment Reminders (SMS/Push/WhatsApp)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Top-of-Funnel Onboarding Banner Redesign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Incentivized Early Repayment Cashback (1%)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NovaSave Balance Sweep for Defaulted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Merchant POS-Lite BNPL Integration (NovaBiz)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Diaspora Remittance Loan Guarantee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8" w:val="single"/>
              <w:right w:color="c4c7c5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ind w:firstLine="20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#10</w:t>
            </w:r>
          </w:p>
        </w:tc>
      </w:tr>
    </w:tbl>
    <w:p w:rsidR="00000000" w:rsidDel="00000000" w:rsidP="00000000" w:rsidRDefault="00000000" w:rsidRPr="00000000" w14:paraId="000001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080.0" w:type="dxa"/>
        <w:jc w:val="left"/>
        <w:tblLayout w:type="fixed"/>
        <w:tblLook w:val="0400"/>
      </w:tblPr>
      <w:tblGrid>
        <w:gridCol w:w="5080"/>
        <w:tblGridChange w:id="0">
          <w:tblGrid>
            <w:gridCol w:w="508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Impact - (0.25=Tiny, 1=Med, 2=High, 3=Massive)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Confidence - (50%, 80%, 100%)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Effort - (Person-Weeks)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RICE Score - (R × I × C) / E</w:t>
            </w:r>
          </w:p>
        </w:tc>
      </w:tr>
    </w:tbl>
    <w:p w:rsidR="00000000" w:rsidDel="00000000" w:rsidP="00000000" w:rsidRDefault="00000000" w:rsidRPr="00000000" w14:paraId="0000010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>
          <w:sz w:val="32"/>
          <w:szCs w:val="32"/>
        </w:rPr>
      </w:pPr>
      <w:bookmarkStart w:colFirst="0" w:colLast="0" w:name="_frtoqohfqacp" w:id="17"/>
      <w:bookmarkEnd w:id="17"/>
      <w:r w:rsidDel="00000000" w:rsidR="00000000" w:rsidRPr="00000000">
        <w:rPr>
          <w:sz w:val="32"/>
          <w:szCs w:val="32"/>
          <w:rtl w:val="0"/>
        </w:rPr>
        <w:t xml:space="preserve">5. Stakeholder</w:t>
      </w:r>
    </w:p>
    <w:p w:rsidR="00000000" w:rsidDel="00000000" w:rsidP="00000000" w:rsidRDefault="00000000" w:rsidRPr="00000000" w14:paraId="00000114">
      <w:pPr>
        <w:pStyle w:val="Heading2"/>
        <w:rPr>
          <w:sz w:val="28"/>
          <w:szCs w:val="28"/>
        </w:rPr>
      </w:pPr>
      <w:bookmarkStart w:colFirst="0" w:colLast="0" w:name="_3yat0x8p3l63" w:id="18"/>
      <w:bookmarkEnd w:id="18"/>
      <w:r w:rsidDel="00000000" w:rsidR="00000000" w:rsidRPr="00000000">
        <w:rPr>
          <w:sz w:val="28"/>
          <w:szCs w:val="28"/>
          <w:rtl w:val="0"/>
        </w:rPr>
        <w:t xml:space="preserve">Engineering Lead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Technical Execution Plan for NovaLend Restricted Launch (6-Week Target)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40.0" w:type="dxa"/>
        <w:jc w:val="left"/>
        <w:tblLayout w:type="fixed"/>
        <w:tblLook w:val="0400"/>
      </w:tblPr>
      <w:tblGrid>
        <w:gridCol w:w="5140"/>
        <w:gridCol w:w="3700"/>
        <w:tblGridChange w:id="0">
          <w:tblGrid>
            <w:gridCol w:w="5140"/>
            <w:gridCol w:w="370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TIMELINE &amp; FRONT-END GOALS       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  SYSTEM DEPENDENCIES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Dynamic Offer Engine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Core Banking System (CBS) APIs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 Debit Tokenization Integration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Credit Bureau Lookup Engine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Target Latency: &lt; 150ms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NIBSS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Debit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Core Focus: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System Architecture, API Latency, Technical Debt, Integration Dependability.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Trade-off: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 are pausing complex multi-account balance-sweeping and advanced merchant integrations to focus strictly on tightening credit decisioning APIs and integrating NIBSS direct debit collection pipelines.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Technical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Dynamic Offer Microservice: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Refactor /credit/offer endpoint to compute dynamic credit limits on the fly using cached NovaWallet velocity metrics. Response latency target: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&lt; 150ms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Mandatory Direct Debit Service: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Integrate NIBSS Direct Debit SDK / Card Tokenization webhook during loan confirmation. Ensure fallback mechanism if primary bank API timeouts occur.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Automated Collection Cron Pipeline: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Build a robust, scalable batch cron job running at 01:00 WAT daily to trigger repayment charges 24 hours prior to, and on, the due date.</w:t>
      </w:r>
    </w:p>
    <w:p w:rsidR="00000000" w:rsidDel="00000000" w:rsidP="00000000" w:rsidRDefault="00000000" w:rsidRPr="00000000" w14:paraId="0000012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>
          <w:sz w:val="28"/>
          <w:szCs w:val="28"/>
        </w:rPr>
      </w:pPr>
      <w:bookmarkStart w:colFirst="0" w:colLast="0" w:name="_oqrn6s44gc3t" w:id="19"/>
      <w:bookmarkEnd w:id="19"/>
      <w:r w:rsidDel="00000000" w:rsidR="00000000" w:rsidRPr="00000000">
        <w:rPr>
          <w:sz w:val="28"/>
          <w:szCs w:val="28"/>
          <w:rtl w:val="0"/>
        </w:rPr>
        <w:t xml:space="preserve">Risk &amp; Compliance Lead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Risk Governance, CBN Approval Strategy, and Portfolio Quality Safeguards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Layout w:type="fixed"/>
        <w:tblLook w:val="0400"/>
      </w:tblPr>
      <w:tblGrid>
        <w:gridCol w:w="4160"/>
        <w:gridCol w:w="4480"/>
        <w:tblGridChange w:id="0">
          <w:tblGrid>
            <w:gridCol w:w="4160"/>
            <w:gridCol w:w="44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RISK TARGETS         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GOVERNANCE &amp; COMPLIANCE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Target Default Rate: ≤ 6.0%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Full CBN Regulatory Package Submission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Current Beta Default: 14.0%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Mandatory Direct Debit Mandate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Exposure Limit: ₦15,000 max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Tier-4 High Risk Freeze</w:t>
            </w:r>
          </w:p>
        </w:tc>
      </w:tr>
    </w:tbl>
    <w:p w:rsidR="00000000" w:rsidDel="00000000" w:rsidP="00000000" w:rsidRDefault="00000000" w:rsidRPr="00000000" w14:paraId="000001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Core Focus: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Portfolio Quality, CBN Regulatory Approval, Default Rate Control, Compliance.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Trade-off: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 are deliberately sacrificing top-line loan disbursement volume (accepting a projected 20-30% drop in total loans issued) to enforce a strict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6.0% default rate threshold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required for CBN sign-off. 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130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Compliance &amp; Risk Controls: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Regulatory Alignment: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6-week Restricted Launch package will be submitted to the CBN with a complete credit risk governance manual, backing NovaLend with a audited 30-day historical adjustments framework. </w:t>
      </w:r>
    </w:p>
    <w:p w:rsidR="00000000" w:rsidDel="00000000" w:rsidP="00000000" w:rsidRDefault="00000000" w:rsidRPr="00000000" w14:paraId="0000013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Underwriting Model Overhaul: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Immediately block all Tier-4 risk category applicants. Capping initial maximum micro-loan principal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₦15,000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down from ₦50,000 until 60-day repayment velocity is proven. </w:t>
      </w:r>
    </w:p>
    <w:p w:rsidR="00000000" w:rsidDel="00000000" w:rsidP="00000000" w:rsidRDefault="00000000" w:rsidRPr="00000000" w14:paraId="0000013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Enforceable Repayment Mandate: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Eliminating voluntary/manual transfers as the sole repayment path. Requiring legally binding electronic direct debit consent prior to capital disbursement.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>
          <w:sz w:val="28"/>
          <w:szCs w:val="28"/>
        </w:rPr>
      </w:pPr>
      <w:bookmarkStart w:colFirst="0" w:colLast="0" w:name="_inluk02xc804" w:id="20"/>
      <w:bookmarkEnd w:id="20"/>
      <w:r w:rsidDel="00000000" w:rsidR="00000000" w:rsidRPr="00000000">
        <w:rPr>
          <w:sz w:val="28"/>
          <w:szCs w:val="28"/>
          <w:rtl w:val="0"/>
        </w:rPr>
        <w:t xml:space="preserve">Executive Sponsor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Business Strategy, P&amp;L Impact, and Super-App Ecosystem Synergies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Layout w:type="fixed"/>
        <w:tblLook w:val="0400"/>
      </w:tblPr>
      <w:tblGrid>
        <w:gridCol w:w="4160"/>
        <w:gridCol w:w="4480"/>
        <w:tblGridChange w:id="0">
          <w:tblGrid>
            <w:gridCol w:w="4160"/>
            <w:gridCol w:w="44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BUSINESS IMPACT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ECOSYSTEM SYNERGY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 Preservation  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NovaWallet Retention Uplift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Sustainable Growth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Cross-Selling NovaSave &amp; NovaBiz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CBN Regulatory Security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Super-App Ecosystem Activation</w:t>
            </w:r>
          </w:p>
        </w:tc>
      </w:tr>
    </w:tbl>
    <w:p w:rsidR="00000000" w:rsidDel="00000000" w:rsidP="00000000" w:rsidRDefault="00000000" w:rsidRPr="00000000" w14:paraId="0000014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Core Focus: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Revenue Preservation, Super-App Growth, CBN License Protection, Strategic Alignment.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Trade-off: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Accepting a temporary reduction in monthly disbursed volume in exchange for protecting FirstBank’s balance sheet, securing CBN approval, and building a profitable, scalable lending engine. 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Business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Protection of Capital: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Uncontrolled scaling at 14% default would burn through the Digital Factory innovation budget within 2 quarters. Capping risk reduces bad debt losses by ~₦12.5M per 1,000 loans. </w:t>
      </w:r>
    </w:p>
    <w:p w:rsidR="00000000" w:rsidDel="00000000" w:rsidP="00000000" w:rsidRDefault="00000000" w:rsidRPr="00000000" w14:paraId="0000015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Ecosystem Activation: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NovaLend remains the primary driver for NovaWallet engagement. Borrowers will be incentivized to lock funds in NovaSave to automatically qualify for higher credit limits in subsequent loan cycles. </w:t>
      </w:r>
    </w:p>
    <w:p w:rsidR="00000000" w:rsidDel="00000000" w:rsidP="00000000" w:rsidRDefault="00000000" w:rsidRPr="00000000" w14:paraId="0000015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Path to Full Scale: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Upon successful 60-day operation at &lt; 6% default, leadership will be presented with a business case to raise loan limits to ₦100,000 and expand marketing to the full 12,400+ user cohort. 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>
          <w:sz w:val="32"/>
          <w:szCs w:val="32"/>
        </w:rPr>
      </w:pPr>
      <w:bookmarkStart w:colFirst="0" w:colLast="0" w:name="_iwpojoaig41j" w:id="21"/>
      <w:bookmarkEnd w:id="21"/>
      <w:r w:rsidDel="00000000" w:rsidR="00000000" w:rsidRPr="00000000">
        <w:rPr>
          <w:sz w:val="32"/>
          <w:szCs w:val="32"/>
          <w:rtl w:val="0"/>
        </w:rPr>
        <w:t xml:space="preserve">6. Experimentation Design: Dynamic Offer Validation (A/B Test)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┌──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Variant A (Control): Current Static Offer (₦20,000, 30 days)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│    Expected Acceptance: 33.9% | Default: 14.0%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1,890 Eligible Borrowers 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│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└──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Variant B (Treatment): Dynamic Slider + Direct Debit</w:t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Expected Acceptance: 42.0% | Target Default: 5.5%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Hypothesis: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Offering a flexible loan amount/tenure slider combined with mandatory auto-debit will increase offer acceptance among low-risk users to ≥ 40% while reducing 30-day defaults to ≤ 5.8%. 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Duration: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14 Days (Weeks 2–3).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Sample Allocation: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50% Control (Variant A: Current Static Offer), 50% Treatment (Variant B: Dynamic Slider + Auto-Debit).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Primary Decision Metric: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30-Day Default Rate &amp; Net Revenue per User (NPRU).</w:t>
      </w:r>
    </w:p>
    <w:sectPr>
      <w:footerReference r:id="rId8" w:type="default"/>
      <w:pgSz w:h="15840" w:w="12240" w:orient="portrait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2e70e6-9d14-497a-ac88-1de68d0e6c19_Enabled">
    <vt:lpwstr>true</vt:lpwstr>
  </property>
  <property fmtid="{D5CDD505-2E9C-101B-9397-08002B2CF9AE}" pid="3" name="MSIP_Label_482e70e6-9d14-497a-ac88-1de68d0e6c19_SetDate">
    <vt:lpwstr>2026-10-17T14:11:48Z</vt:lpwstr>
  </property>
  <property fmtid="{D5CDD505-2E9C-101B-9397-08002B2CF9AE}" pid="4" name="MSIP_Label_482e70e6-9d14-497a-ac88-1de68d0e6c19_Method">
    <vt:lpwstr>Privileged</vt:lpwstr>
  </property>
  <property fmtid="{D5CDD505-2E9C-101B-9397-08002B2CF9AE}" pid="5" name="MSIP_Label_482e70e6-9d14-497a-ac88-1de68d0e6c19_Name">
    <vt:lpwstr>General</vt:lpwstr>
  </property>
  <property fmtid="{D5CDD505-2E9C-101B-9397-08002B2CF9AE}" pid="6" name="MSIP_Label_482e70e6-9d14-497a-ac88-1de68d0e6c19_SiteId">
    <vt:lpwstr>f0aa6c9e-6bfa-489e-8cef-afc384e8733c</vt:lpwstr>
  </property>
  <property fmtid="{D5CDD505-2E9C-101B-9397-08002B2CF9AE}" pid="7" name="MSIP_Label_482e70e6-9d14-497a-ac88-1de68d0e6c19_ActionId">
    <vt:lpwstr>d897cc7f-519f-4ba9-9394-16d85bb694dc</vt:lpwstr>
  </property>
  <property fmtid="{D5CDD505-2E9C-101B-9397-08002B2CF9AE}" pid="8" name="MSIP_Label_482e70e6-9d14-497a-ac88-1de68d0e6c19_ContentBits">
    <vt:lpwstr>0</vt:lpwstr>
  </property>
  <property fmtid="{D5CDD505-2E9C-101B-9397-08002B2CF9AE}" pid="9" name="MSIP_Label_482e70e6-9d14-497a-ac88-1de68d0e6c19_Tag">
    <vt:lpwstr>10, 0, 1, 1</vt:lpwstr>
  </property>
</Properties>
</file>