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SÍTIO DAS RODÓVIAS</dc:title>
  <dc:subject>CERTIDÃO</dc:subject>
  <dc:creator>FRANCISCO ROBERVALDO PERREIRA NETO</dc:creator>
  <cp:keywords>SA.23-V-C-I</cp:keywords>
  <dc:description>CONSOLIDAÇÃO II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1996/12121996</cp:category>
  <cp:contentStatus>SÃO FRANCISCO DO PARÁ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