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C2" w:rsidRPr="004A2EAC" w:rsidRDefault="00947EB8" w:rsidP="002854CC">
      <w:pPr>
        <w:pStyle w:val="Ttulo1"/>
        <w:rPr>
          <w:rFonts w:cstheme="majorHAnsi"/>
          <w:b/>
          <w:sz w:val="36"/>
          <w:szCs w:val="36"/>
        </w:rPr>
      </w:pPr>
      <w:bookmarkStart w:id="0" w:name="_Toc453569501"/>
      <w:proofErr w:type="spellStart"/>
      <w:r w:rsidRPr="004A2EAC">
        <w:rPr>
          <w:rFonts w:cstheme="majorHAnsi"/>
          <w:b/>
          <w:sz w:val="36"/>
          <w:szCs w:val="36"/>
        </w:rPr>
        <w:t>Canvas</w:t>
      </w:r>
      <w:proofErr w:type="spellEnd"/>
      <w:r w:rsidRPr="004A2EAC">
        <w:rPr>
          <w:rFonts w:cstheme="majorHAnsi"/>
          <w:b/>
          <w:sz w:val="36"/>
          <w:szCs w:val="36"/>
        </w:rPr>
        <w:t xml:space="preserve"> – (</w:t>
      </w:r>
      <w:r w:rsidR="00524CCC" w:rsidRPr="004A2EAC">
        <w:rPr>
          <w:rFonts w:cstheme="majorHAnsi"/>
          <w:b/>
          <w:sz w:val="36"/>
          <w:szCs w:val="36"/>
          <w:shd w:val="clear" w:color="auto" w:fill="FFFFFF"/>
        </w:rPr>
        <w:t>Brasil Center Comunicações</w:t>
      </w:r>
      <w:r w:rsidRPr="004A2EAC">
        <w:rPr>
          <w:rFonts w:cstheme="majorHAnsi"/>
          <w:b/>
          <w:sz w:val="36"/>
          <w:szCs w:val="36"/>
        </w:rPr>
        <w:t>)</w:t>
      </w:r>
      <w:bookmarkEnd w:id="0"/>
    </w:p>
    <w:p w:rsidR="00CD4505" w:rsidRPr="00524CCC" w:rsidRDefault="00CD4505"/>
    <w:tbl>
      <w:tblPr>
        <w:tblStyle w:val="Tabelacomgrade"/>
        <w:tblW w:w="1601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079"/>
        <w:gridCol w:w="2972"/>
        <w:gridCol w:w="1791"/>
        <w:gridCol w:w="1404"/>
        <w:gridCol w:w="2857"/>
        <w:gridCol w:w="3915"/>
      </w:tblGrid>
      <w:tr w:rsidR="00DC1CCD" w:rsidTr="00BC2AC3">
        <w:trPr>
          <w:trHeight w:val="2365"/>
        </w:trPr>
        <w:tc>
          <w:tcPr>
            <w:tcW w:w="3079" w:type="dxa"/>
            <w:vMerge w:val="restart"/>
            <w:shd w:val="clear" w:color="auto" w:fill="9CC2E5" w:themeFill="accent1" w:themeFillTint="99"/>
          </w:tcPr>
          <w:p w:rsidR="005368C2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Parcerias Principais</w:t>
            </w:r>
          </w:p>
          <w:p w:rsidR="00D90491" w:rsidRPr="00DC1CCD" w:rsidRDefault="00D90491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D642CF" w:rsidRDefault="00280784" w:rsidP="00D642CF">
            <w:pPr>
              <w:rPr>
                <w:rFonts w:ascii="Open Sans" w:hAnsi="Open Sans" w:cs="Arial"/>
              </w:rPr>
            </w:pPr>
            <w:r w:rsidRPr="00280784">
              <w:rPr>
                <w:rFonts w:ascii="Open Sans" w:hAnsi="Open Sans" w:cs="Arial"/>
              </w:rPr>
              <w:t xml:space="preserve">Gráfica </w:t>
            </w:r>
            <w:r w:rsidR="00D42FD4">
              <w:rPr>
                <w:rFonts w:ascii="Open Sans" w:hAnsi="Open Sans" w:cs="Arial"/>
              </w:rPr>
              <w:t>(Impressão de caixas de papelão)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</w:p>
          <w:p w:rsidR="00D42FD4" w:rsidRDefault="00D42FD4" w:rsidP="00D642CF">
            <w:pPr>
              <w:rPr>
                <w:rFonts w:ascii="Open Sans" w:hAnsi="Open Sans" w:cs="Arial"/>
              </w:rPr>
            </w:pPr>
            <w:proofErr w:type="spellStart"/>
            <w:r>
              <w:rPr>
                <w:rFonts w:ascii="Open Sans" w:hAnsi="Open Sans" w:cs="Arial"/>
              </w:rPr>
              <w:t>BrasilCenter</w:t>
            </w:r>
            <w:proofErr w:type="spellEnd"/>
            <w:r>
              <w:rPr>
                <w:rFonts w:ascii="Open Sans" w:hAnsi="Open Sans" w:cs="Arial"/>
              </w:rPr>
              <w:t xml:space="preserve"> (</w:t>
            </w:r>
            <w:proofErr w:type="spellStart"/>
            <w:r>
              <w:rPr>
                <w:rFonts w:ascii="Open Sans" w:hAnsi="Open Sans" w:cs="Arial"/>
              </w:rPr>
              <w:t>call</w:t>
            </w:r>
            <w:proofErr w:type="spellEnd"/>
            <w:r>
              <w:rPr>
                <w:rFonts w:ascii="Open Sans" w:hAnsi="Open Sans" w:cs="Arial"/>
              </w:rPr>
              <w:t xml:space="preserve"> Center para vendas, </w:t>
            </w:r>
            <w:proofErr w:type="spellStart"/>
            <w:r>
              <w:rPr>
                <w:rFonts w:ascii="Open Sans" w:hAnsi="Open Sans" w:cs="Arial"/>
              </w:rPr>
              <w:t>sac</w:t>
            </w:r>
            <w:proofErr w:type="spellEnd"/>
            <w:r>
              <w:rPr>
                <w:rFonts w:ascii="Open Sans" w:hAnsi="Open Sans" w:cs="Arial"/>
              </w:rPr>
              <w:t xml:space="preserve"> e suporte)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</w:p>
          <w:p w:rsidR="00D42FD4" w:rsidRDefault="00D42FD4" w:rsidP="00D642CF">
            <w:pPr>
              <w:rPr>
                <w:rFonts w:ascii="Open Sans" w:hAnsi="Open Sans" w:cs="Arial"/>
              </w:rPr>
            </w:pPr>
            <w:proofErr w:type="spellStart"/>
            <w:r>
              <w:rPr>
                <w:rFonts w:ascii="Open Sans" w:hAnsi="Open Sans" w:cs="Arial"/>
              </w:rPr>
              <w:t>Entrelog</w:t>
            </w:r>
            <w:proofErr w:type="spellEnd"/>
            <w:r>
              <w:rPr>
                <w:rFonts w:ascii="Open Sans" w:hAnsi="Open Sans" w:cs="Arial"/>
              </w:rPr>
              <w:t xml:space="preserve"> (</w:t>
            </w:r>
            <w:r w:rsidR="004A2EAC">
              <w:rPr>
                <w:rFonts w:ascii="Open Sans" w:hAnsi="Open Sans" w:cs="Arial"/>
              </w:rPr>
              <w:t>Logística</w:t>
            </w:r>
            <w:r>
              <w:rPr>
                <w:rFonts w:ascii="Open Sans" w:hAnsi="Open Sans" w:cs="Arial"/>
              </w:rPr>
              <w:t xml:space="preserve"> de entregas)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</w:p>
          <w:p w:rsidR="00D42FD4" w:rsidRDefault="00D42FD4" w:rsidP="00D642CF">
            <w:pPr>
              <w:rPr>
                <w:rFonts w:ascii="Open Sans" w:hAnsi="Open Sans" w:cs="Arial"/>
              </w:rPr>
            </w:pPr>
            <w:proofErr w:type="spellStart"/>
            <w:r>
              <w:rPr>
                <w:rFonts w:ascii="Open Sans" w:hAnsi="Open Sans" w:cs="Arial"/>
              </w:rPr>
              <w:t>Marketplaces</w:t>
            </w:r>
            <w:proofErr w:type="spellEnd"/>
            <w:r>
              <w:rPr>
                <w:rFonts w:ascii="Open Sans" w:hAnsi="Open Sans" w:cs="Arial"/>
              </w:rPr>
              <w:t xml:space="preserve"> individuais (casas </w:t>
            </w:r>
            <w:proofErr w:type="spellStart"/>
            <w:r>
              <w:rPr>
                <w:rFonts w:ascii="Open Sans" w:hAnsi="Open Sans" w:cs="Arial"/>
              </w:rPr>
              <w:t>bahia</w:t>
            </w:r>
            <w:proofErr w:type="spellEnd"/>
            <w:r>
              <w:rPr>
                <w:rFonts w:ascii="Open Sans" w:hAnsi="Open Sans" w:cs="Arial"/>
              </w:rPr>
              <w:t xml:space="preserve">, ponto frio, </w:t>
            </w:r>
            <w:proofErr w:type="spellStart"/>
            <w:r>
              <w:rPr>
                <w:rFonts w:ascii="Open Sans" w:hAnsi="Open Sans" w:cs="Arial"/>
              </w:rPr>
              <w:t>ricardo</w:t>
            </w:r>
            <w:proofErr w:type="spellEnd"/>
            <w:r>
              <w:rPr>
                <w:rFonts w:ascii="Open Sans" w:hAnsi="Open Sans" w:cs="Arial"/>
              </w:rPr>
              <w:t xml:space="preserve"> electro)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</w:p>
          <w:p w:rsidR="00D42FD4" w:rsidRDefault="00D42FD4" w:rsidP="00D642CF">
            <w:pPr>
              <w:rPr>
                <w:rFonts w:ascii="Open Sans" w:hAnsi="Open Sans" w:cs="Arial"/>
                <w:lang w:val="en-US"/>
              </w:rPr>
            </w:pPr>
            <w:r w:rsidRPr="00D42FD4">
              <w:rPr>
                <w:rFonts w:ascii="Open Sans" w:hAnsi="Open Sans" w:cs="Arial"/>
                <w:lang w:val="en-US"/>
              </w:rPr>
              <w:t>B2W (marketplace [</w:t>
            </w:r>
            <w:proofErr w:type="spellStart"/>
            <w:r w:rsidRPr="00D42FD4">
              <w:rPr>
                <w:rFonts w:ascii="Open Sans" w:hAnsi="Open Sans" w:cs="Arial"/>
                <w:lang w:val="en-US"/>
              </w:rPr>
              <w:t>americanas</w:t>
            </w:r>
            <w:proofErr w:type="spellEnd"/>
            <w:r w:rsidRPr="00D42FD4">
              <w:rPr>
                <w:rFonts w:ascii="Open Sans" w:hAnsi="Open Sans" w:cs="Arial"/>
                <w:lang w:val="en-US"/>
              </w:rPr>
              <w:t xml:space="preserve">, </w:t>
            </w:r>
            <w:proofErr w:type="spellStart"/>
            <w:r w:rsidRPr="00D42FD4">
              <w:rPr>
                <w:rFonts w:ascii="Open Sans" w:hAnsi="Open Sans" w:cs="Arial"/>
                <w:lang w:val="en-US"/>
              </w:rPr>
              <w:t>submarino</w:t>
            </w:r>
            <w:proofErr w:type="spellEnd"/>
            <w:r w:rsidRPr="00D42FD4">
              <w:rPr>
                <w:rFonts w:ascii="Open Sans" w:hAnsi="Open Sans" w:cs="Arial"/>
                <w:lang w:val="en-US"/>
              </w:rPr>
              <w:t xml:space="preserve">, </w:t>
            </w:r>
            <w:proofErr w:type="spellStart"/>
            <w:r w:rsidRPr="00D42FD4">
              <w:rPr>
                <w:rFonts w:ascii="Open Sans" w:hAnsi="Open Sans" w:cs="Arial"/>
                <w:lang w:val="en-US"/>
              </w:rPr>
              <w:t>shoptime</w:t>
            </w:r>
            <w:proofErr w:type="spellEnd"/>
            <w:r w:rsidRPr="00D42FD4">
              <w:rPr>
                <w:rFonts w:ascii="Open Sans" w:hAnsi="Open Sans" w:cs="Arial"/>
                <w:lang w:val="en-US"/>
              </w:rPr>
              <w:t>])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D42FD4" w:rsidRDefault="00D42FD4" w:rsidP="00D642CF">
            <w:pPr>
              <w:rPr>
                <w:rFonts w:ascii="Open Sans" w:hAnsi="Open Sans" w:cs="Arial"/>
              </w:rPr>
            </w:pPr>
            <w:proofErr w:type="spellStart"/>
            <w:r>
              <w:rPr>
                <w:rFonts w:ascii="Open Sans" w:hAnsi="Open Sans" w:cs="Arial"/>
              </w:rPr>
              <w:t>Tp</w:t>
            </w:r>
            <w:proofErr w:type="spellEnd"/>
            <w:r>
              <w:rPr>
                <w:rFonts w:ascii="Open Sans" w:hAnsi="Open Sans" w:cs="Arial"/>
              </w:rPr>
              <w:t>-Link (Fornecimento de roteadores)</w:t>
            </w:r>
          </w:p>
          <w:p w:rsid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</w:p>
          <w:p w:rsidR="00D42FD4" w:rsidRPr="00D42FD4" w:rsidRDefault="00D42FD4" w:rsidP="00D642C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>Embratel (fornecimento de internet e telefonia)</w:t>
            </w:r>
          </w:p>
          <w:p w:rsidR="006259F7" w:rsidRPr="00D42FD4" w:rsidRDefault="006259F7" w:rsidP="00DC1CC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972" w:type="dxa"/>
            <w:shd w:val="clear" w:color="auto" w:fill="9CC2E5" w:themeFill="accent1" w:themeFillTint="99"/>
          </w:tcPr>
          <w:p w:rsidR="005368C2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Atividades Principais</w:t>
            </w:r>
          </w:p>
          <w:p w:rsidR="00344921" w:rsidRPr="00DC1CCD" w:rsidRDefault="00344921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44921" w:rsidRPr="00A02710" w:rsidRDefault="00A02710" w:rsidP="00344921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Open Sans" w:hAnsi="Open Sans" w:cs="Arial"/>
              </w:rPr>
              <w:t>Roteador Portátil</w:t>
            </w:r>
          </w:p>
          <w:p w:rsidR="00A02710" w:rsidRPr="00DC1CCD" w:rsidRDefault="00A02710" w:rsidP="00344921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Open Sans" w:hAnsi="Open Sans" w:cs="Arial"/>
              </w:rPr>
              <w:t>Serviço de internet 4G</w:t>
            </w:r>
          </w:p>
        </w:tc>
        <w:tc>
          <w:tcPr>
            <w:tcW w:w="3195" w:type="dxa"/>
            <w:gridSpan w:val="2"/>
            <w:vMerge w:val="restart"/>
            <w:shd w:val="clear" w:color="auto" w:fill="F53772"/>
          </w:tcPr>
          <w:p w:rsidR="005368C2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Proposta de Valor</w:t>
            </w:r>
          </w:p>
          <w:p w:rsidR="00B64B5A" w:rsidRPr="00DC1CCD" w:rsidRDefault="00B64B5A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0933BD" w:rsidRPr="00A373A9" w:rsidRDefault="000933BD" w:rsidP="00A373A9">
            <w:pPr>
              <w:pStyle w:val="PargrafodaLista"/>
              <w:numPr>
                <w:ilvl w:val="0"/>
                <w:numId w:val="8"/>
              </w:numPr>
              <w:ind w:left="357"/>
              <w:rPr>
                <w:rFonts w:ascii="Arial" w:hAnsi="Arial" w:cs="Arial"/>
                <w:sz w:val="24"/>
                <w:szCs w:val="24"/>
              </w:rPr>
            </w:pPr>
            <w:r w:rsidRPr="00A373A9">
              <w:rPr>
                <w:rFonts w:ascii="Arial" w:hAnsi="Arial" w:cs="Arial"/>
                <w:sz w:val="24"/>
                <w:szCs w:val="24"/>
              </w:rPr>
              <w:t>Neste plano, você tem internet, ligações e serviços adicionais para aproveitar</w:t>
            </w:r>
            <w:r w:rsidR="00A92A0D">
              <w:rPr>
                <w:rFonts w:ascii="Arial" w:hAnsi="Arial" w:cs="Arial"/>
                <w:sz w:val="24"/>
                <w:szCs w:val="24"/>
              </w:rPr>
              <w:t xml:space="preserve"> por </w:t>
            </w:r>
            <w:r w:rsidRPr="00A373A9">
              <w:rPr>
                <w:rFonts w:ascii="Arial" w:hAnsi="Arial" w:cs="Arial"/>
                <w:sz w:val="24"/>
                <w:szCs w:val="24"/>
              </w:rPr>
              <w:t>apenas</w:t>
            </w:r>
          </w:p>
          <w:p w:rsidR="00B64B5A" w:rsidRPr="00A373A9" w:rsidRDefault="000933BD" w:rsidP="00A373A9">
            <w:pPr>
              <w:pStyle w:val="PargrafodaLista"/>
              <w:numPr>
                <w:ilvl w:val="0"/>
                <w:numId w:val="8"/>
              </w:numPr>
              <w:ind w:left="357"/>
              <w:rPr>
                <w:rFonts w:ascii="Arial" w:hAnsi="Arial" w:cs="Arial"/>
                <w:sz w:val="24"/>
                <w:szCs w:val="24"/>
              </w:rPr>
            </w:pPr>
            <w:r w:rsidRPr="00A373A9">
              <w:rPr>
                <w:rFonts w:ascii="Arial" w:hAnsi="Arial" w:cs="Arial"/>
                <w:sz w:val="24"/>
                <w:szCs w:val="24"/>
              </w:rPr>
              <w:t>R$ 39,99/mês.</w:t>
            </w:r>
          </w:p>
          <w:p w:rsidR="000933BD" w:rsidRDefault="000933BD" w:rsidP="00A373A9">
            <w:pPr>
              <w:ind w:left="357"/>
              <w:rPr>
                <w:rFonts w:ascii="Arial" w:hAnsi="Arial" w:cs="Arial"/>
                <w:sz w:val="24"/>
                <w:szCs w:val="24"/>
              </w:rPr>
            </w:pPr>
          </w:p>
          <w:p w:rsidR="000933BD" w:rsidRPr="00A373A9" w:rsidRDefault="000933BD" w:rsidP="00A373A9">
            <w:pPr>
              <w:pStyle w:val="PargrafodaLista"/>
              <w:numPr>
                <w:ilvl w:val="0"/>
                <w:numId w:val="8"/>
              </w:numPr>
              <w:ind w:left="357"/>
              <w:rPr>
                <w:rFonts w:ascii="Arial" w:hAnsi="Arial" w:cs="Arial"/>
                <w:sz w:val="24"/>
                <w:szCs w:val="24"/>
              </w:rPr>
            </w:pPr>
            <w:r w:rsidRPr="00A373A9">
              <w:rPr>
                <w:rFonts w:ascii="Arial" w:hAnsi="Arial" w:cs="Arial"/>
                <w:sz w:val="24"/>
                <w:szCs w:val="24"/>
              </w:rPr>
              <w:t>Apenas R$ 99,99/mês Planos de até 6GB+6GB com Ligações ilimitadas, WhatsApp à vontade e serviços digitais inclusos.</w:t>
            </w:r>
          </w:p>
          <w:p w:rsidR="000933BD" w:rsidRDefault="000933BD" w:rsidP="00A373A9">
            <w:pPr>
              <w:ind w:left="357"/>
              <w:rPr>
                <w:rFonts w:ascii="Arial" w:hAnsi="Arial" w:cs="Arial"/>
                <w:sz w:val="24"/>
                <w:szCs w:val="24"/>
              </w:rPr>
            </w:pPr>
          </w:p>
          <w:p w:rsidR="000933BD" w:rsidRPr="00A373A9" w:rsidRDefault="000933BD" w:rsidP="00A373A9">
            <w:pPr>
              <w:pStyle w:val="PargrafodaLista"/>
              <w:numPr>
                <w:ilvl w:val="0"/>
                <w:numId w:val="8"/>
              </w:numPr>
              <w:ind w:left="357"/>
              <w:rPr>
                <w:rFonts w:ascii="Arial" w:hAnsi="Arial" w:cs="Arial"/>
                <w:sz w:val="24"/>
                <w:szCs w:val="24"/>
              </w:rPr>
            </w:pPr>
            <w:r w:rsidRPr="00A373A9">
              <w:rPr>
                <w:rFonts w:ascii="Arial" w:hAnsi="Arial" w:cs="Arial"/>
                <w:sz w:val="24"/>
                <w:szCs w:val="24"/>
              </w:rPr>
              <w:t>R$ 250,00 - 300GB de internet/mês + roteador portátil gratuito</w:t>
            </w:r>
          </w:p>
          <w:p w:rsidR="000933BD" w:rsidRPr="00DC1CCD" w:rsidRDefault="000933BD" w:rsidP="000933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7" w:type="dxa"/>
            <w:shd w:val="clear" w:color="auto" w:fill="70AD47" w:themeFill="accent6"/>
          </w:tcPr>
          <w:p w:rsidR="00B64B5A" w:rsidRPr="00DC1CCD" w:rsidRDefault="00A25309" w:rsidP="009327F7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Relacionamento com clientes</w:t>
            </w:r>
          </w:p>
          <w:p w:rsidR="009327F7" w:rsidRPr="00DC1CCD" w:rsidRDefault="009327F7" w:rsidP="009327F7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33B79" w:rsidRPr="00A02710" w:rsidRDefault="00A02710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Open Sans" w:hAnsi="Open Sans" w:cs="Arial"/>
              </w:rPr>
              <w:t>Anulação da cobrança (no período de ausência de sinal) em caso de reporte de falha de sinal na rede de atendimento</w:t>
            </w:r>
          </w:p>
          <w:p w:rsidR="00A02710" w:rsidRPr="00A02710" w:rsidRDefault="00A02710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Open Sans" w:hAnsi="Open Sans" w:cs="Arial"/>
              </w:rPr>
              <w:t>Ressarcimento de 200% do valor cobrado no erro.</w:t>
            </w:r>
          </w:p>
          <w:p w:rsidR="00A02710" w:rsidRPr="00A02710" w:rsidRDefault="00A02710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Open Sans" w:hAnsi="Open Sans" w:cs="Arial"/>
              </w:rPr>
              <w:t>Fidelização de 24 meses com desconto de 10% no período de fidelização</w:t>
            </w:r>
          </w:p>
          <w:p w:rsidR="00A02710" w:rsidRPr="00DC1CCD" w:rsidRDefault="00A02710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Open Sans" w:hAnsi="Open Sans" w:cs="Arial"/>
              </w:rPr>
              <w:t>Sac</w:t>
            </w:r>
            <w:proofErr w:type="spellEnd"/>
            <w:r>
              <w:rPr>
                <w:rFonts w:ascii="Open Sans" w:hAnsi="Open Sans" w:cs="Arial"/>
              </w:rPr>
              <w:t xml:space="preserve">, Suporte, </w:t>
            </w:r>
            <w:proofErr w:type="spellStart"/>
            <w:r>
              <w:rPr>
                <w:rFonts w:ascii="Open Sans" w:hAnsi="Open Sans" w:cs="Arial"/>
              </w:rPr>
              <w:t>backOffice</w:t>
            </w:r>
            <w:proofErr w:type="spellEnd"/>
          </w:p>
        </w:tc>
        <w:tc>
          <w:tcPr>
            <w:tcW w:w="3915" w:type="dxa"/>
            <w:vMerge w:val="restart"/>
            <w:shd w:val="clear" w:color="auto" w:fill="70AD47" w:themeFill="accent6"/>
          </w:tcPr>
          <w:p w:rsidR="00BF1F73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Segmentos de Clientes</w:t>
            </w:r>
          </w:p>
          <w:p w:rsidR="009327F7" w:rsidRPr="00DC1CCD" w:rsidRDefault="009327F7" w:rsidP="009327F7">
            <w:pPr>
              <w:rPr>
                <w:rFonts w:ascii="Arial" w:hAnsi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9327F7" w:rsidRPr="00A373A9" w:rsidRDefault="00AE5453" w:rsidP="00A373A9">
            <w:pPr>
              <w:pStyle w:val="PargrafodaLista"/>
              <w:numPr>
                <w:ilvl w:val="0"/>
                <w:numId w:val="9"/>
              </w:numPr>
              <w:ind w:left="407"/>
              <w:rPr>
                <w:rFonts w:ascii="Open Sans" w:hAnsi="Open Sans" w:cs="Arial"/>
              </w:rPr>
            </w:pPr>
            <w:r w:rsidRPr="00A373A9">
              <w:rPr>
                <w:rFonts w:ascii="Open Sans" w:hAnsi="Open Sans" w:cs="Arial"/>
              </w:rPr>
              <w:t>Público</w:t>
            </w:r>
            <w:r w:rsidR="00A02710" w:rsidRPr="00A373A9">
              <w:rPr>
                <w:rFonts w:ascii="Open Sans" w:hAnsi="Open Sans" w:cs="Arial"/>
              </w:rPr>
              <w:t xml:space="preserve"> que deseja acesso </w:t>
            </w:r>
            <w:r w:rsidRPr="00A373A9">
              <w:rPr>
                <w:rFonts w:ascii="Open Sans" w:hAnsi="Open Sans" w:cs="Arial"/>
              </w:rPr>
              <w:t>à</w:t>
            </w:r>
            <w:r w:rsidR="00A02710" w:rsidRPr="00A373A9">
              <w:rPr>
                <w:rFonts w:ascii="Open Sans" w:hAnsi="Open Sans" w:cs="Arial"/>
              </w:rPr>
              <w:t xml:space="preserve"> internet</w:t>
            </w:r>
          </w:p>
          <w:p w:rsidR="00A02710" w:rsidRDefault="00A02710" w:rsidP="00A373A9">
            <w:pPr>
              <w:ind w:left="407"/>
              <w:rPr>
                <w:rFonts w:ascii="Arial" w:hAnsi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A02710" w:rsidRPr="00A373A9" w:rsidRDefault="00A02710" w:rsidP="00A373A9">
            <w:pPr>
              <w:pStyle w:val="PargrafodaLista"/>
              <w:numPr>
                <w:ilvl w:val="0"/>
                <w:numId w:val="9"/>
              </w:numPr>
              <w:ind w:left="407"/>
              <w:rPr>
                <w:rFonts w:ascii="Open Sans" w:hAnsi="Open Sans" w:cs="Arial"/>
              </w:rPr>
            </w:pPr>
            <w:r w:rsidRPr="00A373A9">
              <w:rPr>
                <w:rFonts w:ascii="Open Sans" w:hAnsi="Open Sans" w:cs="Arial"/>
              </w:rPr>
              <w:t>Pais que assinam para os filhos</w:t>
            </w:r>
          </w:p>
          <w:p w:rsidR="00A02710" w:rsidRDefault="00A02710" w:rsidP="00A373A9">
            <w:pPr>
              <w:ind w:left="407"/>
              <w:rPr>
                <w:rFonts w:ascii="Arial" w:hAnsi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A02710" w:rsidRPr="00A373A9" w:rsidRDefault="00A02710" w:rsidP="00A373A9">
            <w:pPr>
              <w:pStyle w:val="PargrafodaLista"/>
              <w:numPr>
                <w:ilvl w:val="0"/>
                <w:numId w:val="9"/>
              </w:numPr>
              <w:ind w:left="407"/>
              <w:rPr>
                <w:rFonts w:ascii="Open Sans" w:hAnsi="Open Sans" w:cs="Arial"/>
              </w:rPr>
            </w:pPr>
            <w:r w:rsidRPr="00A373A9">
              <w:rPr>
                <w:rFonts w:ascii="Open Sans" w:hAnsi="Open Sans" w:cs="Arial"/>
              </w:rPr>
              <w:t>Pessoas entre 18 e 30 anos</w:t>
            </w:r>
          </w:p>
          <w:p w:rsidR="00A02710" w:rsidRPr="00DC1CCD" w:rsidRDefault="00A02710" w:rsidP="00DC1CCD">
            <w:pPr>
              <w:rPr>
                <w:rFonts w:ascii="Arial" w:hAnsi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C1CCD" w:rsidTr="00BC2AC3">
        <w:trPr>
          <w:trHeight w:val="3554"/>
        </w:trPr>
        <w:tc>
          <w:tcPr>
            <w:tcW w:w="3079" w:type="dxa"/>
            <w:vMerge/>
            <w:shd w:val="clear" w:color="auto" w:fill="9CC2E5" w:themeFill="accent1" w:themeFillTint="99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972" w:type="dxa"/>
            <w:shd w:val="clear" w:color="auto" w:fill="9CC2E5" w:themeFill="accent1" w:themeFillTint="99"/>
          </w:tcPr>
          <w:p w:rsidR="005368C2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Recursos Principais</w:t>
            </w:r>
          </w:p>
          <w:p w:rsidR="005813D1" w:rsidRPr="00DC1CCD" w:rsidRDefault="005813D1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E029C5" w:rsidRPr="00A02710" w:rsidRDefault="00A02710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>caixas de papelão estampadas (embalagem do roteador)</w:t>
            </w:r>
          </w:p>
          <w:p w:rsidR="00A02710" w:rsidRPr="00A02710" w:rsidRDefault="00A02710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>materiais de papelaria (folhas para impressão de contratos), eletrônicos (computadores, impressoras, telefone)</w:t>
            </w:r>
          </w:p>
          <w:p w:rsidR="00A02710" w:rsidRPr="00DC1CCD" w:rsidRDefault="00A02710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 xml:space="preserve">Pessoas para o gerenciamento de contratos e </w:t>
            </w:r>
            <w:r>
              <w:rPr>
                <w:rFonts w:ascii="Open Sans" w:hAnsi="Open Sans" w:cs="Arial"/>
              </w:rPr>
              <w:lastRenderedPageBreak/>
              <w:t>administração da empresa</w:t>
            </w:r>
          </w:p>
        </w:tc>
        <w:tc>
          <w:tcPr>
            <w:tcW w:w="3195" w:type="dxa"/>
            <w:gridSpan w:val="2"/>
            <w:vMerge/>
            <w:shd w:val="clear" w:color="auto" w:fill="F53772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857" w:type="dxa"/>
            <w:shd w:val="clear" w:color="auto" w:fill="70AD47" w:themeFill="accent6"/>
          </w:tcPr>
          <w:p w:rsidR="005368C2" w:rsidRPr="00DC1CCD" w:rsidRDefault="00A25309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Canais</w:t>
            </w:r>
          </w:p>
          <w:p w:rsidR="00444E20" w:rsidRPr="00DC1CCD" w:rsidRDefault="00444E20" w:rsidP="00A25309">
            <w:pPr>
              <w:jc w:val="center"/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C94FDC" w:rsidRPr="00A02710" w:rsidRDefault="00A02710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Open Sans" w:hAnsi="Open Sans" w:cs="Arial"/>
              </w:rPr>
              <w:t>call</w:t>
            </w:r>
            <w:proofErr w:type="spellEnd"/>
            <w:r>
              <w:rPr>
                <w:rFonts w:ascii="Open Sans" w:hAnsi="Open Sans" w:cs="Arial"/>
              </w:rPr>
              <w:t xml:space="preserve"> center</w:t>
            </w:r>
          </w:p>
          <w:p w:rsidR="00A02710" w:rsidRPr="00A02710" w:rsidRDefault="00A02710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Open Sans" w:hAnsi="Open Sans" w:cs="Arial"/>
              </w:rPr>
              <w:t>marketplaces</w:t>
            </w:r>
            <w:proofErr w:type="spellEnd"/>
          </w:p>
          <w:p w:rsidR="00A02710" w:rsidRPr="00A02710" w:rsidRDefault="00A02710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Open Sans" w:hAnsi="Open Sans" w:cs="Arial"/>
              </w:rPr>
              <w:t>ecommerce</w:t>
            </w:r>
            <w:proofErr w:type="spellEnd"/>
            <w:r>
              <w:rPr>
                <w:rFonts w:ascii="Open Sans" w:hAnsi="Open Sans" w:cs="Arial"/>
              </w:rPr>
              <w:t xml:space="preserve"> próprio</w:t>
            </w:r>
          </w:p>
          <w:p w:rsidR="00A02710" w:rsidRPr="00DC1CCD" w:rsidRDefault="00A02710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>Loja Física</w:t>
            </w:r>
          </w:p>
        </w:tc>
        <w:tc>
          <w:tcPr>
            <w:tcW w:w="3915" w:type="dxa"/>
            <w:vMerge/>
            <w:shd w:val="clear" w:color="auto" w:fill="70AD47" w:themeFill="accent6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C1CCD" w:rsidTr="00BC2AC3">
        <w:trPr>
          <w:trHeight w:val="2522"/>
        </w:trPr>
        <w:tc>
          <w:tcPr>
            <w:tcW w:w="7842" w:type="dxa"/>
            <w:gridSpan w:val="3"/>
            <w:shd w:val="clear" w:color="auto" w:fill="FFC000" w:themeFill="accent4"/>
          </w:tcPr>
          <w:p w:rsidR="005368C2" w:rsidRPr="00DC1CCD" w:rsidRDefault="00A25309" w:rsidP="00A25309">
            <w:pPr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Estrutura de Custo</w:t>
            </w:r>
          </w:p>
          <w:p w:rsidR="006F01DF" w:rsidRPr="00DC1CCD" w:rsidRDefault="006F01DF" w:rsidP="00A25309">
            <w:pPr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E029C5" w:rsidRPr="00DC1CCD" w:rsidRDefault="00A02710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 xml:space="preserve">Gastos com insumos, roteadores, internet, pessoas, e taxas de </w:t>
            </w:r>
            <w:proofErr w:type="spellStart"/>
            <w:r>
              <w:rPr>
                <w:rFonts w:ascii="Open Sans" w:hAnsi="Open Sans" w:cs="Arial"/>
              </w:rPr>
              <w:t>m</w:t>
            </w:r>
            <w:bookmarkStart w:id="1" w:name="_GoBack"/>
            <w:bookmarkEnd w:id="1"/>
            <w:r>
              <w:rPr>
                <w:rFonts w:ascii="Open Sans" w:hAnsi="Open Sans" w:cs="Arial"/>
              </w:rPr>
              <w:t>arketplaces</w:t>
            </w:r>
            <w:proofErr w:type="spellEnd"/>
            <w:r>
              <w:rPr>
                <w:rFonts w:ascii="Open Sans" w:hAnsi="Open Sans" w:cs="Arial"/>
              </w:rPr>
              <w:t xml:space="preserve"> e </w:t>
            </w:r>
            <w:proofErr w:type="spellStart"/>
            <w:r>
              <w:rPr>
                <w:rFonts w:ascii="Open Sans" w:hAnsi="Open Sans" w:cs="Arial"/>
              </w:rPr>
              <w:t>etc</w:t>
            </w:r>
            <w:proofErr w:type="spellEnd"/>
          </w:p>
        </w:tc>
        <w:tc>
          <w:tcPr>
            <w:tcW w:w="8176" w:type="dxa"/>
            <w:gridSpan w:val="3"/>
            <w:shd w:val="clear" w:color="auto" w:fill="FFC000" w:themeFill="accent4"/>
          </w:tcPr>
          <w:p w:rsidR="005368C2" w:rsidRPr="00DC1CCD" w:rsidRDefault="00A25309" w:rsidP="00A25309">
            <w:pPr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C1CCD"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Fontes de Receita</w:t>
            </w:r>
          </w:p>
          <w:p w:rsidR="007170B1" w:rsidRPr="00DC1CCD" w:rsidRDefault="007170B1" w:rsidP="00A25309">
            <w:pPr>
              <w:rPr>
                <w:rFonts w:ascii="Arial" w:hAnsi="Arial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19646A" w:rsidRPr="00DC1CCD" w:rsidRDefault="00A02710" w:rsidP="00DC1CCD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Open Sans" w:hAnsi="Open Sans" w:cs="Arial"/>
              </w:rPr>
              <w:t>Assinaturas e compras de roteadores</w:t>
            </w:r>
          </w:p>
        </w:tc>
      </w:tr>
    </w:tbl>
    <w:p w:rsidR="005368C2" w:rsidRDefault="005368C2"/>
    <w:p w:rsidR="00CD4505" w:rsidRDefault="00CD4505"/>
    <w:p w:rsidR="00157835" w:rsidRDefault="00157835" w:rsidP="007E6A22">
      <w:pPr>
        <w:jc w:val="both"/>
      </w:pPr>
    </w:p>
    <w:sectPr w:rsidR="00157835" w:rsidSect="00BC2AC3">
      <w:pgSz w:w="16817" w:h="11901" w:orient="landscape"/>
      <w:pgMar w:top="0" w:right="851" w:bottom="567" w:left="96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486"/>
    <w:multiLevelType w:val="hybridMultilevel"/>
    <w:tmpl w:val="F976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0568"/>
    <w:multiLevelType w:val="hybridMultilevel"/>
    <w:tmpl w:val="28582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378C"/>
    <w:multiLevelType w:val="hybridMultilevel"/>
    <w:tmpl w:val="84702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F29FC"/>
    <w:multiLevelType w:val="hybridMultilevel"/>
    <w:tmpl w:val="B5BA4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1913"/>
    <w:multiLevelType w:val="hybridMultilevel"/>
    <w:tmpl w:val="23C46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8C2"/>
    <w:rsid w:val="00060CD4"/>
    <w:rsid w:val="00071002"/>
    <w:rsid w:val="000933BD"/>
    <w:rsid w:val="0010283E"/>
    <w:rsid w:val="00157835"/>
    <w:rsid w:val="0019646A"/>
    <w:rsid w:val="001D3DF1"/>
    <w:rsid w:val="00230F1B"/>
    <w:rsid w:val="0025240F"/>
    <w:rsid w:val="00280784"/>
    <w:rsid w:val="002854CC"/>
    <w:rsid w:val="00344921"/>
    <w:rsid w:val="003B4D5C"/>
    <w:rsid w:val="003C557D"/>
    <w:rsid w:val="00423364"/>
    <w:rsid w:val="004441EE"/>
    <w:rsid w:val="00444E20"/>
    <w:rsid w:val="004A2EAC"/>
    <w:rsid w:val="004E5FF7"/>
    <w:rsid w:val="00524CCC"/>
    <w:rsid w:val="005368C2"/>
    <w:rsid w:val="005813D1"/>
    <w:rsid w:val="0058357C"/>
    <w:rsid w:val="005B47FA"/>
    <w:rsid w:val="006259F7"/>
    <w:rsid w:val="00627603"/>
    <w:rsid w:val="00627FC7"/>
    <w:rsid w:val="00633B79"/>
    <w:rsid w:val="00674EFA"/>
    <w:rsid w:val="006C1E93"/>
    <w:rsid w:val="006F01DF"/>
    <w:rsid w:val="00702A5E"/>
    <w:rsid w:val="007170B1"/>
    <w:rsid w:val="007453E0"/>
    <w:rsid w:val="0077451E"/>
    <w:rsid w:val="007E6A22"/>
    <w:rsid w:val="0087593C"/>
    <w:rsid w:val="00906051"/>
    <w:rsid w:val="00930D9B"/>
    <w:rsid w:val="009327F7"/>
    <w:rsid w:val="00947EB8"/>
    <w:rsid w:val="009661AB"/>
    <w:rsid w:val="009B002A"/>
    <w:rsid w:val="00A02710"/>
    <w:rsid w:val="00A25309"/>
    <w:rsid w:val="00A373A9"/>
    <w:rsid w:val="00A92A0D"/>
    <w:rsid w:val="00AD2AA0"/>
    <w:rsid w:val="00AE5453"/>
    <w:rsid w:val="00AF27AE"/>
    <w:rsid w:val="00B64B5A"/>
    <w:rsid w:val="00BC2AC3"/>
    <w:rsid w:val="00BF1F73"/>
    <w:rsid w:val="00C33BBC"/>
    <w:rsid w:val="00C87BF6"/>
    <w:rsid w:val="00C94FDC"/>
    <w:rsid w:val="00CD4505"/>
    <w:rsid w:val="00D42FD4"/>
    <w:rsid w:val="00D642CF"/>
    <w:rsid w:val="00D90491"/>
    <w:rsid w:val="00DB5926"/>
    <w:rsid w:val="00DC1CCD"/>
    <w:rsid w:val="00E029C5"/>
    <w:rsid w:val="00E97603"/>
    <w:rsid w:val="00F01DDF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872DCC3-67A8-4C20-B1BF-ADB17D75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A2647-B01F-4856-827C-1A331A7F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keywords/>
  <dc:description/>
  <cp:lastModifiedBy>Jefferson Mendes</cp:lastModifiedBy>
  <cp:revision>10</cp:revision>
  <dcterms:created xsi:type="dcterms:W3CDTF">2017-05-15T12:48:00Z</dcterms:created>
  <dcterms:modified xsi:type="dcterms:W3CDTF">2018-06-14T23:02:00Z</dcterms:modified>
</cp:coreProperties>
</file>