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20" w:lineRule="auto"/>
        <w:jc w:val="center"/>
      </w:pPr>
      <w:r>
        <w:rPr>
          <w:rFonts w:ascii="Calibri" w:hAnsi="Calibri"/>
          <w:color w:val="24313A"/>
          <w:sz w:val="22"/>
        </w:rPr>
        <w:t>FIELDNODE</w:t>
      </w:r>
    </w:p>
    <w:p>
      <w:pPr>
        <w:spacing w:before="0" w:after="120" w:line="276" w:lineRule="auto"/>
        <w:jc w:val="center"/>
      </w:pPr>
      <w:r>
        <w:rPr>
          <w:rFonts w:ascii="Calibri" w:hAnsi="Calibri"/>
          <w:b/>
          <w:color w:val="173B3F"/>
          <w:sz w:val="48"/>
        </w:rPr>
        <w:t>Telemetria offline-first e inteligência operacional para máquinas agrícolas</w:t>
      </w:r>
    </w:p>
    <w:p>
      <w:pPr>
        <w:spacing w:before="0" w:after="440" w:line="276" w:lineRule="auto"/>
        <w:jc w:val="center"/>
      </w:pPr>
      <w:r>
        <w:rPr>
          <w:rFonts w:ascii="Calibri" w:hAnsi="Calibri"/>
          <w:i/>
          <w:color w:val="68747B"/>
          <w:sz w:val="26"/>
        </w:rPr>
        <w:t>Proposta revisada com base no estado implementado até a Semana 10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13A"/>
                <w:sz w:val="20"/>
              </w:rPr>
              <w:t>Natureza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13A"/>
                <w:sz w:val="20"/>
              </w:rPr>
              <w:t>Protótipo técnico funcional para TCC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13A"/>
                <w:sz w:val="20"/>
              </w:rPr>
              <w:t>Escopo demonstrável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13A"/>
                <w:sz w:val="20"/>
              </w:rPr>
              <w:t>Leitura -&gt; Trust Score -&gt; Event -&gt; Decision -&gt; aprovação humana -&gt; outcome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13A"/>
                <w:sz w:val="20"/>
              </w:rPr>
              <w:t>Base técnica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13A"/>
                <w:sz w:val="20"/>
              </w:rPr>
              <w:t>Django/DRF, SQLite/MySQL, Next.js, cliente de borda com outbox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13A"/>
                <w:sz w:val="20"/>
              </w:rPr>
              <w:t>Limite declarado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13A"/>
                <w:sz w:val="20"/>
              </w:rPr>
              <w:t>Não demonstra sensor físico calibrado, economia medida ou manutenção executada automaticamente</w:t>
            </w:r>
          </w:p>
        </w:tc>
      </w:tr>
    </w:tbl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1. Resumo</w:t>
      </w:r>
    </w:p>
    <w:p>
      <w:pPr>
        <w:spacing w:before="0" w:after="160" w:line="320" w:lineRule="auto"/>
      </w:pPr>
      <w:r>
        <w:rPr>
          <w:rFonts w:ascii="Calibri" w:hAnsi="Calibri"/>
          <w:color w:val="24313A"/>
          <w:sz w:val="22"/>
        </w:rPr>
        <w:t>O FieldNode é uma plataforma de telemetria e inteligência operacional para máquinas agrícolas. A proposta combina ingestão autenticada, validação, deduplicação, persistência, indicadores de qualidade dos dados, detecção de eventos e recomendações operacionais submetidas à aprovação humana.</w:t>
      </w:r>
    </w:p>
    <w:p>
      <w:pPr>
        <w:spacing w:before="0" w:after="160" w:line="320" w:lineRule="auto"/>
      </w:pPr>
      <w:r>
        <w:rPr>
          <w:rFonts w:ascii="Calibri" w:hAnsi="Calibri"/>
          <w:color w:val="24313A"/>
          <w:sz w:val="22"/>
        </w:rPr>
        <w:t>A revisão desta proposta mantém a ambição do produto, mas ajusta as afirmações ao que foi realmente implementado. O resultado atual é um protótipo técnico funcional, demonstrável em ambiente controlado e ainda dependente de validação em campo e de repetição oficial no Docker Compose.</w:t>
      </w: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2. Problema e justificativa</w:t>
      </w:r>
    </w:p>
    <w:p>
      <w:pPr>
        <w:spacing w:before="0" w:after="160" w:line="320" w:lineRule="auto"/>
      </w:pPr>
      <w:r>
        <w:rPr>
          <w:rFonts w:ascii="Calibri" w:hAnsi="Calibri"/>
          <w:color w:val="24313A"/>
          <w:sz w:val="22"/>
        </w:rPr>
        <w:t>Máquinas agrícolas operam em ambientes com conectividade irregular, múltiplas fontes de dados e necessidade de decisão rápida. Um sistema que apenas exibe leituras não resolve o problema operacional: é necessário preservar a origem, reconhecer condições relevantes, explicar a recomendação e registrar quem decidiu o quê.</w:t>
      </w:r>
    </w:p>
    <w:p>
      <w:pPr>
        <w:spacing w:before="0" w:after="160" w:line="320" w:lineRule="auto"/>
      </w:pPr>
      <w:r>
        <w:rPr>
          <w:rFonts w:ascii="Calibri" w:hAnsi="Calibri"/>
          <w:color w:val="24313A"/>
          <w:sz w:val="22"/>
        </w:rPr>
        <w:t>A justificativa técnica está na combinação de integridade da telemetria, tolerância a falhas de comunicação e memória auditável de decisões. A justificativa científica está em medir o comportamento do protótipo com critérios explícitos, sem apresentar regras ou sinais de aprendizado não supervisionado como predição supervisionada validada.</w:t>
      </w: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3. Objetivos</w:t>
      </w:r>
    </w:p>
    <w:p>
      <w:pPr>
        <w:pStyle w:val="Heading2"/>
        <w:keepNext/>
      </w:pPr>
      <w:r>
        <w:rPr>
          <w:rFonts w:ascii="Calibri" w:hAnsi="Calibri"/>
          <w:b/>
          <w:color w:val="2E74B5"/>
          <w:sz w:val="26"/>
        </w:rPr>
        <w:t>3.1 Objetivo geral</w:t>
      </w:r>
    </w:p>
    <w:p>
      <w:pPr>
        <w:spacing w:before="0" w:after="160" w:line="320" w:lineRule="auto"/>
      </w:pPr>
      <w:r>
        <w:rPr>
          <w:rFonts w:ascii="Calibri" w:hAnsi="Calibri"/>
          <w:color w:val="24313A"/>
          <w:sz w:val="22"/>
        </w:rPr>
        <w:t>Projetar e demonstrar um protótipo de telemetria offline-first capaz de transformar leituras de máquinas agrícolas em eventos e recomendações operacionais auditáveis, com revisão humana antes de qualquer registro de execução.</w:t>
      </w:r>
    </w:p>
    <w:p>
      <w:pPr>
        <w:pStyle w:val="Heading2"/>
        <w:keepNext/>
      </w:pPr>
      <w:r>
        <w:rPr>
          <w:rFonts w:ascii="Calibri" w:hAnsi="Calibri"/>
          <w:b/>
          <w:color w:val="2E74B5"/>
          <w:sz w:val="26"/>
        </w:rPr>
        <w:t>3.2 Objetivos específicos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receber telemetria por HTTP e preservar identidade de dispositivo, mensagem, sequência, timestamp e hash;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aplicar validação, deduplicação e uma outbox local com retry e cursor contíguo;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calcular e persistir Trust Score heurístico e estado agregado de qualidade;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gerar Event determinístico para condições críticas documentadas e associá-lo à leitura de origem;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gerar Decision persistente, vinculada ao Event quando houver evento aberto elegível;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permitir aprovação ou rejeição por usuário autenticado e registrar outcome textual;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documentar limites, evidências e pendências para evolução posterior.</w:t>
      </w: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4. Arquitetura e fluxo</w:t>
      </w:r>
    </w:p>
    <w:p>
      <w:pPr>
        <w:spacing w:before="0" w:after="160" w:line="320" w:lineRule="auto"/>
      </w:pPr>
      <w:r>
        <w:rPr>
          <w:rFonts w:ascii="Calibri" w:hAnsi="Calibri"/>
          <w:color w:val="24313A"/>
          <w:sz w:val="22"/>
        </w:rPr>
        <w:t>A arquitetura atual é composta por cliente de borda ou simulador, API Django/DRF, banco SQLite ou MySQL, pipeline de análise e dashboard Next.js. A ingestão usa X-API-Key para o canal máquina-a-máquina. A aprovação usa autenticação de usuário e autorização no backend.</w:t>
      </w:r>
    </w:p>
    <w:p>
      <w:pPr>
        <w:spacing w:before="0" w:after="160" w:line="320" w:lineRule="auto"/>
      </w:pPr>
      <w:r>
        <w:rPr>
          <w:rFonts w:ascii="Calibri" w:hAnsi="Calibri"/>
          <w:color w:val="24313A"/>
          <w:sz w:val="22"/>
        </w:rPr>
        <w:t>No fluxo fechado da Semana 10, uma leitura determinística de 115 °C é enviada pelo EdgeClient. A API calcula o Trust Score, persiste a leitura, avalia a regra de temperatura acima de 85 °C, cria um Event TEMP_ALTA crítico e persiste uma Decision pendente associada ao Event. O operador revisa a recomendação e aprova pela interface. O outcome deve descrever o que ocorreu, sem afirmar execução física inexistente.</w:t>
      </w: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5. Metodologia</w:t>
      </w:r>
    </w:p>
    <w:p>
      <w:pPr>
        <w:spacing w:before="0" w:after="160" w:line="320" w:lineRule="auto"/>
      </w:pPr>
      <w:r>
        <w:rPr>
          <w:rFonts w:ascii="Calibri" w:hAnsi="Calibri"/>
          <w:color w:val="24313A"/>
          <w:sz w:val="22"/>
        </w:rPr>
        <w:t>A avaliação combina inspeção de contratos, testes automatizados, execução local e ensaio integrado no Compose. O critério de qualificação do closed loop exige três execuções Compose consecutivas, com persistência, rastreabilidade, aprovação humana e outcome confirmados. Uma execução local SQLite é evidência parcial e não substitui o ambiente oficial.</w:t>
      </w:r>
    </w:p>
    <w:p>
      <w:pPr>
        <w:spacing w:before="0" w:after="160" w:line="320" w:lineRule="auto"/>
      </w:pPr>
      <w:r>
        <w:rPr>
          <w:rFonts w:ascii="Calibri" w:hAnsi="Calibri"/>
          <w:color w:val="24313A"/>
          <w:sz w:val="22"/>
        </w:rPr>
        <w:t>A análise de risco combina regras determinísticas e Isolation Forest como sinais complementares. A PoC de decisão agentiva é mantida como experimento condicionado a chave externa, Event elegível e resposta auditável; não é requisito para afirmar que o closed loop básico funciona.</w:t>
      </w: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6. Resultados verificáveis até a Semana 10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ingestão autenticada, validação e deduplicação por chave composta no backend;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outbox SQLite do EdgeClient com ACK, hash, retry e cursor;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Trust Score individual e MachineDataHealth persistidos;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Event crítico por temperatura e Decision pendente vinculada ao Event;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transições de Decision protegidas por estado, usuário autenticado e autorização da Machine;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dashboard com revisão e registro de outcome;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testes focados de Trust Score, Event, Decision e telemetria executados sem falhas;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roteiro de banca e respostas de pressão técnica documentados.</w:t>
      </w: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7. Limitações e trabalho futuro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a leitura demonstrada é simulada; a integração física com sensor e a calibração ainda precisam de validação;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Trust Score e regras atuais são heurísticos e não equivalem a probabilidade calibrada de falha;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a execução física da intervenção não é controlada pelo protótipo;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a integração do modelo universal de telemetria com todo o pipeline ainda é uma dívida técnica;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a autenticação do MVP requer evolução antes de uso produtivo, incluindo sessão adequada, rotação e controles adicionais;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a validação comercial com compradores e usuários operacionais permanece exploratória;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a execução oficial dos três ensaios Compose e a gravação do vídeo dependem de Docker Desktop disponível.</w:t>
      </w: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8. Contribuição esperada</w:t>
      </w:r>
    </w:p>
    <w:p>
      <w:pPr>
        <w:spacing w:before="0" w:after="160" w:line="320" w:lineRule="auto"/>
      </w:pPr>
      <w:r>
        <w:rPr>
          <w:rFonts w:ascii="Calibri" w:hAnsi="Calibri"/>
          <w:color w:val="24313A"/>
          <w:sz w:val="22"/>
        </w:rPr>
        <w:t>A contribuição do trabalho é uma demonstração integrada de como telemetria offline-first, qualidade dos dados, regras de eventos, sinais de análise e revisão humana podem formar um ciclo auditável para operação agrícola. O valor da proposta está na rastreabilidade e na clareza dos limites, não em prometer autonomia ou resultados de campo que ainda não foram medidos.</w:t>
      </w: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9. Referências internas do projeto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docs/ROTEIRO_DEMO_BANCA.md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docs/INVESTOR_CTO_PRESSURE_TEST.md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docs/S10_EXECUCOES.md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docs/HONESTIDADE_METODOLOGICA_ML.md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docs/CONTRATO_TELEMETRIA_V1.md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24313A"/>
          <w:sz w:val="22"/>
        </w:rPr>
        <w:t>docs/SEGURANCA.md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8747B"/>
        <w:sz w:val="18"/>
      </w:rPr>
      <w:t>Documento revisado em 12/10/2026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8747B"/>
        <w:sz w:val="18"/>
      </w:rPr>
      <w:t>FieldNode | Proposta de TCC v5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color w:val="2431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