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4000000">
      <w:pPr>
        <w:widowControl w:val="0"/>
        <w:spacing w:after="0" w:before="268" w:line="240" w:lineRule="auto"/>
        <w:ind w:firstLine="639" w:left="6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 науки и высшего образования РФ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>ФГБОУ ВО «</w:t>
      </w:r>
      <w:r>
        <w:rPr>
          <w:rFonts w:ascii="Times New Roman" w:hAnsi="Times New Roman"/>
        </w:rPr>
        <w:t>Нижневартовский</w:t>
      </w:r>
      <w:r>
        <w:rPr>
          <w:rFonts w:ascii="Times New Roman" w:hAnsi="Times New Roman"/>
        </w:rPr>
        <w:t xml:space="preserve"> государственный </w:t>
      </w:r>
      <w:r>
        <w:rPr>
          <w:rFonts w:ascii="Times New Roman" w:hAnsi="Times New Roman"/>
        </w:rPr>
        <w:t xml:space="preserve">университет» 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 xml:space="preserve">Факультет </w:t>
      </w:r>
      <w:r>
        <w:rPr>
          <w:rFonts w:ascii="Times New Roman" w:hAnsi="Times New Roman"/>
        </w:rPr>
        <w:t>информационных технологий и математики</w:t>
      </w:r>
    </w:p>
    <w:p w14:paraId="05000000">
      <w:pPr>
        <w:widowControl w:val="0"/>
        <w:spacing w:after="0" w:line="321" w:lineRule="exact"/>
        <w:ind w:firstLine="0" w:left="6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</w:rPr>
        <w:t>информатики и методики преподавания информатики</w:t>
      </w:r>
    </w:p>
    <w:p w14:paraId="06000000">
      <w:pPr>
        <w:widowControl w:val="0"/>
        <w:spacing w:after="0" w:line="240" w:lineRule="auto"/>
        <w:ind w:firstLine="0" w:left="0"/>
        <w:rPr>
          <w:rFonts w:ascii="Times New Roman" w:hAnsi="Times New Roman"/>
          <w:sz w:val="30"/>
        </w:rPr>
      </w:pPr>
    </w:p>
    <w:p w14:paraId="07000000">
      <w:pPr>
        <w:widowControl w:val="0"/>
        <w:spacing w:after="0" w:before="6" w:line="240" w:lineRule="auto"/>
        <w:ind w:firstLine="0" w:left="0"/>
        <w:rPr>
          <w:rFonts w:ascii="Times New Roman" w:hAnsi="Times New Roman"/>
          <w:sz w:val="29"/>
        </w:rPr>
      </w:pPr>
    </w:p>
    <w:p w14:paraId="08000000">
      <w:pPr>
        <w:widowControl w:val="0"/>
        <w:spacing w:after="0" w:line="322" w:lineRule="exact"/>
        <w:ind w:firstLine="0" w:left="46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Курсовой проект по дисциплине</w:t>
      </w:r>
    </w:p>
    <w:p w14:paraId="09000000">
      <w:pPr>
        <w:ind w:firstLine="0" w:left="4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</w:t>
      </w:r>
      <w:r>
        <w:rPr>
          <w:rFonts w:ascii="Times New Roman" w:hAnsi="Times New Roman"/>
          <w:sz w:val="28"/>
        </w:rPr>
        <w:t xml:space="preserve">Основы научно-исследовательской </w:t>
      </w:r>
      <w:r>
        <w:rPr>
          <w:rFonts w:ascii="Times New Roman" w:hAnsi="Times New Roman"/>
          <w:sz w:val="28"/>
        </w:rPr>
        <w:t>деятельности</w:t>
      </w:r>
      <w:r>
        <w:rPr>
          <w:rFonts w:ascii="Times New Roman" w:hAnsi="Times New Roman"/>
          <w:sz w:val="28"/>
        </w:rPr>
        <w:t>»</w:t>
      </w:r>
    </w:p>
    <w:p w14:paraId="0A000000">
      <w:pPr>
        <w:pStyle w:val="Style_2"/>
        <w:rPr>
          <w:rFonts w:ascii="Times New Roman" w:hAnsi="Times New Roman"/>
        </w:rPr>
      </w:pPr>
    </w:p>
    <w:p w14:paraId="0B000000">
      <w:pPr>
        <w:pStyle w:val="Style_2"/>
        <w:ind/>
        <w:jc w:val="left"/>
        <w:rPr>
          <w:rFonts w:ascii="Times New Roman" w:hAnsi="Times New Roman"/>
        </w:rPr>
      </w:pPr>
    </w:p>
    <w:p w14:paraId="0C000000">
      <w:pPr>
        <w:pStyle w:val="Style_2"/>
        <w:ind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АНАЛИЗ СТАТИСТИКИ СТРАХОВЫХ ВЫПЛАТ СРЕДСТВАМИ ЯЗЫКА PYTHON</w:t>
      </w:r>
    </w:p>
    <w:p w14:paraId="0D000000">
      <w:pPr>
        <w:pStyle w:val="Style_2"/>
        <w:ind/>
        <w:jc w:val="center"/>
        <w:rPr>
          <w:rFonts w:ascii="Times New Roman" w:hAnsi="Times New Roman"/>
        </w:rPr>
      </w:pPr>
    </w:p>
    <w:p w14:paraId="0E000000">
      <w:pPr>
        <w:pStyle w:val="Style_2"/>
        <w:ind/>
        <w:jc w:val="center"/>
        <w:rPr>
          <w:rFonts w:ascii="Times New Roman" w:hAnsi="Times New Roman"/>
        </w:rPr>
      </w:pPr>
    </w:p>
    <w:p w14:paraId="0F000000">
      <w:pPr>
        <w:pStyle w:val="Style_2"/>
        <w:ind/>
        <w:jc w:val="left"/>
        <w:rPr>
          <w:rFonts w:ascii="Times New Roman" w:hAnsi="Times New Roman"/>
        </w:rPr>
      </w:pPr>
    </w:p>
    <w:p w14:paraId="10000000">
      <w:pPr>
        <w:pStyle w:val="Style_2"/>
        <w:ind w:firstLine="0" w:left="5669"/>
        <w:jc w:val="left"/>
        <w:rPr>
          <w:rFonts w:ascii="Times New Roman" w:hAnsi="Times New Roman"/>
        </w:rPr>
      </w:pPr>
    </w:p>
    <w:p w14:paraId="11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Исполнитель: </w:t>
      </w:r>
    </w:p>
    <w:p w14:paraId="12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3353 </w:t>
      </w:r>
    </w:p>
    <w:p w14:paraId="13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Горидько Иван Александрович</w:t>
      </w:r>
    </w:p>
    <w:p w14:paraId="14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15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кандидат технических наук,</w:t>
      </w:r>
    </w:p>
    <w:p w14:paraId="16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доцент кафедры информатики и методики</w:t>
      </w:r>
    </w:p>
    <w:p w14:paraId="17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преподавания информатики</w:t>
      </w:r>
    </w:p>
    <w:p w14:paraId="18000000">
      <w:pPr>
        <w:pStyle w:val="Style_2"/>
        <w:ind w:firstLine="0" w:left="566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Катермина Татьяна Сергеевна </w:t>
      </w:r>
    </w:p>
    <w:p w14:paraId="19000000">
      <w:pPr>
        <w:pStyle w:val="Style_2"/>
        <w:ind/>
        <w:jc w:val="center"/>
      </w:pPr>
    </w:p>
    <w:p w14:paraId="1A000000">
      <w:pPr>
        <w:pStyle w:val="Style_2"/>
        <w:ind/>
        <w:jc w:val="left"/>
      </w:pPr>
    </w:p>
    <w:p w14:paraId="1B000000">
      <w:pPr>
        <w:pStyle w:val="Style_2"/>
        <w:ind/>
        <w:jc w:val="left"/>
      </w:pPr>
      <w:r>
        <w:t>___________________________ __________</w:t>
      </w:r>
    </w:p>
    <w:p w14:paraId="1C000000">
      <w:pPr>
        <w:pStyle w:val="Style_2"/>
        <w:ind w:firstLine="0" w:left="4394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(подпись)</w:t>
      </w:r>
    </w:p>
    <w:p w14:paraId="1D000000">
      <w:pPr>
        <w:pStyle w:val="Style_2"/>
        <w:ind w:firstLine="0" w:left="4394"/>
        <w:jc w:val="left"/>
        <w:rPr>
          <w:rFonts w:ascii="Times New Roman" w:hAnsi="Times New Roman"/>
          <w:sz w:val="20"/>
        </w:rPr>
      </w:pPr>
    </w:p>
    <w:p w14:paraId="1E000000">
      <w:pPr>
        <w:pStyle w:val="Style_2"/>
        <w:ind w:firstLine="0" w:left="-567"/>
        <w:jc w:val="left"/>
        <w:rPr>
          <w:rFonts w:ascii="Times New Roman" w:hAnsi="Times New Roman"/>
          <w:sz w:val="20"/>
        </w:rPr>
      </w:pPr>
    </w:p>
    <w:p w14:paraId="1F000000">
      <w:pPr>
        <w:pStyle w:val="Style_2"/>
        <w:ind w:firstLine="0" w:left="-567"/>
        <w:jc w:val="left"/>
        <w:rPr>
          <w:rFonts w:ascii="Times New Roman" w:hAnsi="Times New Roman"/>
          <w:sz w:val="20"/>
        </w:rPr>
      </w:pPr>
    </w:p>
    <w:p w14:paraId="20000000">
      <w:pPr>
        <w:pStyle w:val="Style_2"/>
        <w:ind w:firstLine="0" w:left="-567"/>
        <w:jc w:val="left"/>
        <w:rPr>
          <w:rFonts w:ascii="Times New Roman" w:hAnsi="Times New Roman"/>
          <w:sz w:val="20"/>
        </w:rPr>
      </w:pPr>
    </w:p>
    <w:p w14:paraId="21000000">
      <w:pPr>
        <w:pStyle w:val="Style_2"/>
        <w:ind w:firstLine="0" w:left="-567"/>
        <w:jc w:val="left"/>
        <w:rPr>
          <w:rFonts w:ascii="Times New Roman" w:hAnsi="Times New Roman"/>
          <w:sz w:val="20"/>
        </w:rPr>
      </w:pPr>
    </w:p>
    <w:p w14:paraId="22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3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4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5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6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7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8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</w:p>
    <w:p w14:paraId="29000000">
      <w:pPr>
        <w:pStyle w:val="Style_2"/>
        <w:ind w:firstLine="0" w:left="-567"/>
        <w:jc w:val="center"/>
        <w:rPr>
          <w:rFonts w:ascii="Times New Roman" w:hAnsi="Times New Roman"/>
          <w:sz w:val="20"/>
        </w:rPr>
      </w:pPr>
      <w:r>
        <w:t>Нижневартовск,</w:t>
      </w:r>
      <w:r>
        <w:t xml:space="preserve"> </w:t>
      </w:r>
      <w:r>
        <w:t>20</w:t>
      </w:r>
      <w:r>
        <w:t>25</w:t>
      </w:r>
      <w:r>
        <w:br w:type="page"/>
      </w:r>
    </w:p>
    <w:p w14:paraId="2A000000">
      <w:pPr>
        <w:pStyle w:val="Style_2"/>
        <w:ind w:firstLine="0" w:left="-56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32"/>
        </w:rPr>
        <w:t>Оглавление:</w:t>
      </w:r>
    </w:p>
    <w:p>
      <w:pPr>
        <w:pStyle w:val="Style_3"/>
        <w:tabs>
          <w:tab w:leader="dot" w:pos="9865" w:val="right"/>
        </w:tabs>
        <w:ind/>
      </w:pPr>
      <w:r>
        <w:fldChar w:fldCharType="begin"/>
      </w:r>
      <w:r>
        <w:instrText xml:space="preserve">TOC \h \z \u \o "1-3"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Глава 1. ТЕОРЕТИЧЕСКИЕ ОСНОВЫ ПРОГНОЗИРОВАНИЯ СТРАХОВЫХ ВЫПЛАТ СРЕДСТВАМИ МАШИННОГО ОБУЧЕНИЯ</w:t>
      </w:r>
      <w:r>
        <w:tab/>
      </w:r>
      <w:r>
        <w:fldChar w:fldCharType="begin"/>
      </w:r>
      <w:r>
        <w:instrText>PAGEREF __RefHeading___1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1.1. Задача предсказания страховых выплат</w:t>
      </w:r>
      <w:r>
        <w:tab/>
      </w:r>
      <w:r>
        <w:fldChar w:fldCharType="begin"/>
      </w:r>
      <w:r>
        <w:instrText>PAGEREF __RefHeading___2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1.2. Уточненная постановка задачи</w:t>
      </w:r>
      <w:r>
        <w:tab/>
      </w:r>
      <w:r>
        <w:fldChar w:fldCharType="begin"/>
      </w:r>
      <w:r>
        <w:instrText>PAGEREF __RefHeading___3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1.3. Библиотеки, язык и среда разработки</w:t>
      </w:r>
      <w:r>
        <w:tab/>
      </w:r>
      <w:r>
        <w:fldChar w:fldCharType="begin"/>
      </w:r>
      <w:r>
        <w:instrText>PAGEREF __RefHeading___4 \h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F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"__RefHeading___111"</w:instrText>
      </w:r>
      <w:r>
        <w:fldChar w:fldCharType="separate"/>
      </w:r>
      <w:r>
        <w:t>1.4. Анализ существующих методов предсказания страховых выплат.</w:t>
      </w:r>
      <w:r>
        <w:tab/>
      </w:r>
      <w:r>
        <w:fldChar w:fldCharType="begin"/>
      </w:r>
      <w:r>
        <w:instrText>PAGEREF __RefHeading___111 \h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0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"__RefHeading___77"</w:instrText>
      </w:r>
      <w:r>
        <w:fldChar w:fldCharType="separate"/>
      </w:r>
      <w:r>
        <w:t>Где новое_b – это наше предположение относительно значения b, b_градиент – это градиент кривой потерь при нашем текущем предположении, а скорость_обучения – пропорционален размеру шага, который нужно сделать.</w:t>
      </w:r>
      <w:r>
        <w:tab/>
      </w:r>
      <w:r>
        <w:fldChar w:fldCharType="begin"/>
      </w:r>
      <w:r>
        <w:instrText>PAGEREF __RefHeading___77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"__RefHeading___112"</w:instrText>
      </w:r>
      <w:r>
        <w:fldChar w:fldCharType="separate"/>
      </w:r>
      <w:r>
        <w:t>Чтобы узнать когда остановить обучение нашей модели, нам нужно определить сходимость. Сходимость – это когда убыток перестает изменяться (или изменяется очень медленно)</w:t>
      </w:r>
      <w:r>
        <w:tab/>
      </w:r>
      <w:r>
        <w:fldChar w:fldCharType="begin"/>
      </w:r>
      <w:r>
        <w:instrText>PAGEREF __RefHeading___112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2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"__RefHeading___116"</w:instrText>
      </w:r>
      <w:r>
        <w:fldChar w:fldCharType="separate"/>
      </w:r>
      <w:r>
        <w:t>Нам необходимо выбрать скорость обучения, которая будет определять продвижение вниз по кривой. Слишком низкая скорость обучения потребует много времени для достижения сходимости. Слишком высокая скорость обучения может пропустить наилучшее значение. В итоге мы можем так и не достигнуть сходимости.</w:t>
      </w:r>
      <w:r>
        <w:tab/>
      </w:r>
      <w:r>
        <w:fldChar w:fldCharType="begin"/>
      </w:r>
      <w:r>
        <w:instrText>PAGEREF __RefHeading___116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3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"__RefHeading___117"</w:instrText>
      </w:r>
      <w:r>
        <w:fldChar w:fldCharType="separate"/>
      </w:r>
      <w:r>
        <w:t>Для обучения модели не требуется поиск абсолютно наилучшей скорости обучения. Достаточно найти такую скорость обучения, чтобы градиентный спуск сходился с необходимой эффективности.</w:t>
      </w:r>
      <w:r>
        <w:tab/>
      </w:r>
      <w:r>
        <w:fldChar w:fldCharType="begin"/>
      </w:r>
      <w:r>
        <w:instrText>PAGEREF __RefHeading___117 \h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4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"__RefHeading___119"</w:instrText>
      </w:r>
      <w:r>
        <w:fldChar w:fldCharType="separate"/>
      </w:r>
      <w:r>
        <w:t>2. Первичный разведочный анализ данных (EDA). Часть 1.</w:t>
      </w:r>
      <w:r>
        <w:tab/>
      </w:r>
      <w:r>
        <w:fldChar w:fldCharType="begin"/>
      </w:r>
      <w:r>
        <w:instrText>PAGEREF __RefHeading___119 \h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5000000">
      <w:pPr>
        <w:pStyle w:val="Style_4"/>
        <w:tabs>
          <w:tab w:leader="dot" w:pos="9865" w:val="right"/>
        </w:tabs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2. Первичный разведочный анализ данных (EDA). Часть 2.</w:t>
      </w:r>
      <w:r>
        <w:tab/>
      </w:r>
      <w:r>
        <w:fldChar w:fldCharType="begin"/>
      </w:r>
      <w:r>
        <w:instrText>PAGEREF __RefHeading___6 \h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r>
        <w:fldChar w:fldCharType="end"/>
      </w:r>
    </w:p>
    <w:p w14:paraId="37000000">
      <w:pPr>
        <w:spacing w:after="159" w:line="360" w:lineRule="auto"/>
        <w:ind w:firstLine="709" w:left="0"/>
        <w:jc w:val="center"/>
      </w:pPr>
      <w:r>
        <w:rPr>
          <w:rFonts w:ascii="Times New Roman" w:hAnsi="Times New Roman"/>
          <w:b w:val="1"/>
        </w:rPr>
        <w:br w:type="page"/>
      </w:r>
      <w:r>
        <w:rPr>
          <w:rFonts w:ascii="Times New Roman" w:hAnsi="Times New Roman"/>
          <w:b w:val="1"/>
        </w:rPr>
        <w:t xml:space="preserve">Анализ статистики страховых </w:t>
      </w:r>
      <w:r>
        <w:rPr>
          <w:rFonts w:ascii="Times New Roman" w:hAnsi="Times New Roman"/>
          <w:b w:val="1"/>
        </w:rPr>
        <w:t>выплат</w:t>
      </w:r>
      <w:r>
        <w:rPr>
          <w:rFonts w:ascii="Times New Roman" w:hAnsi="Times New Roman"/>
          <w:b w:val="1"/>
        </w:rPr>
        <w:t xml:space="preserve"> средствами языка Python</w:t>
      </w:r>
    </w:p>
    <w:p w14:paraId="38000000">
      <w:pPr>
        <w:pStyle w:val="Style_2"/>
        <w:spacing w:after="159" w:line="360" w:lineRule="auto"/>
        <w:ind w:firstLine="0"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Введение</w:t>
      </w:r>
    </w:p>
    <w:p w14:paraId="39000000">
      <w:pPr>
        <w:pStyle w:val="Style_2"/>
        <w:spacing w:after="159" w:line="360" w:lineRule="auto"/>
        <w:ind w:firstLine="1276" w:left="0"/>
        <w:jc w:val="both"/>
        <w:rPr>
          <w:rFonts w:ascii="Times New Roman" w:hAnsi="Times New Roman"/>
          <w:b w:val="0"/>
          <w:color w:val="000000"/>
          <w:sz w:val="27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7"/>
        </w:rPr>
        <w:t>Актуальность исследований.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В современном мире страхование является неотъемлемой частью финансовой стабильности как отдельных людей, так и целых предприятий. Страховые выплаты составляют значительную долю в расходах компаний, и их точное прогнозирование напрямую влияет на прибыльность и устойчивость страхового бизнеса. Машинное обучение и интеллектуальный анализ данных стали мощными инструментами для решения этой задачи, позволяя выявлять сложные, неочевидные для человека взаимосвязи в исторических данных. Язык Python с его богатой экосистемой библиотек, таких как Scikit-learn, Pandas и NumPy, является одной из самых популярных и эффективных сред для реализации подобных аналитических систем. Прогнозирование страховых выплат — это сложная и многогранная задача. Для ее успешного решения необходимо разбить процесс на ключевые этапы: от сбора и предобработки данных до построения, валидации и интерпретации прогнозных моделей.</w:t>
      </w:r>
      <w:r>
        <w:rPr>
          <w:rFonts w:ascii="Times New Roman" w:hAnsi="Times New Roman"/>
          <w:b w:val="0"/>
          <w:color w:val="000000"/>
          <w:sz w:val="27"/>
        </w:rPr>
        <w:t xml:space="preserve"> </w:t>
      </w:r>
    </w:p>
    <w:p w14:paraId="3A000000">
      <w:pPr>
        <w:pStyle w:val="Style_2"/>
        <w:spacing w:after="159" w:line="360" w:lineRule="auto"/>
        <w:ind w:firstLine="709" w:left="0"/>
        <w:jc w:val="left"/>
        <w:rPr>
          <w:rFonts w:ascii="Times New Roman" w:hAnsi="Times New Roman"/>
          <w:b w:val="0"/>
          <w:color w:val="000000"/>
          <w:sz w:val="27"/>
        </w:rPr>
      </w:pPr>
      <w:r>
        <w:rPr>
          <w:rFonts w:ascii="Times New Roman" w:hAnsi="Times New Roman"/>
          <w:b w:val="1"/>
          <w:sz w:val="28"/>
        </w:rPr>
        <w:t xml:space="preserve">Объект исследования: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формирование размеров страховых выплат на основе статистических данных</w:t>
      </w:r>
      <w:r>
        <w:rPr>
          <w:rFonts w:ascii="Times New Roman" w:hAnsi="Times New Roman"/>
          <w:b w:val="0"/>
          <w:color w:val="000000"/>
          <w:sz w:val="27"/>
        </w:rPr>
        <w:t>.</w:t>
      </w:r>
    </w:p>
    <w:p w14:paraId="3B000000">
      <w:pPr>
        <w:pStyle w:val="Style_2"/>
        <w:spacing w:after="159" w:line="360" w:lineRule="auto"/>
        <w:ind w:firstLine="709" w:left="0"/>
        <w:jc w:val="left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Процесс исследования: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формирование размеров страховых выплат средствами интеллектуального анализа данных.</w:t>
      </w:r>
    </w:p>
    <w:p w14:paraId="3C000000">
      <w:pPr>
        <w:pStyle w:val="Style_2"/>
        <w:spacing w:after="159" w:line="360" w:lineRule="auto"/>
        <w:ind w:firstLine="709" w:left="0"/>
        <w:jc w:val="left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Цель исследования: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реализовать предсказания страховых выплат средствами языка python.</w:t>
      </w:r>
    </w:p>
    <w:p w14:paraId="3D000000">
      <w:pPr>
        <w:pStyle w:val="Style_2"/>
        <w:spacing w:after="159" w:line="360" w:lineRule="auto"/>
        <w:ind w:firstLine="709" w:left="0"/>
        <w:jc w:val="left"/>
        <w:rPr>
          <w:rFonts w:ascii="Times New Roman" w:hAnsi="Times New Roman"/>
          <w:b w:val="1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Задачи исследования: </w:t>
      </w:r>
    </w:p>
    <w:p w14:paraId="3E000000">
      <w:pPr>
        <w:numPr>
          <w:numId w:val="1"/>
        </w:numPr>
        <w:spacing w:after="159" w:before="0"/>
        <w:ind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Провести анализ и предобработку предоставленного набора данных о страховых случаях.</w:t>
      </w:r>
    </w:p>
    <w:p w14:paraId="3F000000">
      <w:pPr>
        <w:numPr>
          <w:numId w:val="1"/>
        </w:num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Реализовать и обучить модель линейной регрессии для прогнозирования размера страховых выплат.</w:t>
      </w:r>
    </w:p>
    <w:p w14:paraId="40000000">
      <w:pPr>
        <w:numPr>
          <w:numId w:val="1"/>
        </w:num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>Реализовать и обучить модель регрессии на основе алгоритма "Случайный лес".</w:t>
      </w:r>
    </w:p>
    <w:p w14:paraId="41000000">
      <w:pPr>
        <w:numPr>
          <w:numId w:val="1"/>
        </w:numPr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  <w:t xml:space="preserve">Провести сравнительный анализ эффективности построенных моделей и выбрать оптимальную. </w:t>
      </w:r>
    </w:p>
    <w:p w14:paraId="42000000">
      <w:bookmarkStart w:id="1" w:name="__RefHeading___1"/>
      <w:bookmarkEnd w:id="1"/>
      <w:pPr>
        <w:pStyle w:val="Style_5"/>
        <w:spacing w:after="159"/>
        <w:ind/>
        <w:jc w:val="left"/>
      </w:pPr>
      <w:r>
        <w:br w:type="page"/>
      </w:r>
      <w:r>
        <w:rPr>
          <w:sz w:val="32"/>
        </w:rPr>
        <w:t>Глава 1.</w:t>
      </w:r>
      <w:r>
        <w:rPr>
          <w:sz w:val="32"/>
        </w:rPr>
        <w:t xml:space="preserve"> </w:t>
      </w: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32"/>
        </w:rPr>
        <w:t>ТЕОРЕТИЧЕСКИЕ ОСНОВЫ ПРОГНОЗИРОВАНИЯ СТРАХОВЫХ ВЫПЛАТ СРЕДСТВАМИ МАШИННОГО ОБУЧЕНИЯ</w:t>
      </w:r>
    </w:p>
    <w:p w14:paraId="43000000">
      <w:pPr>
        <w:pStyle w:val="Style_2"/>
      </w:pPr>
    </w:p>
    <w:p w14:paraId="44000000">
      <w:bookmarkStart w:id="2" w:name="__RefHeading___2"/>
      <w:bookmarkEnd w:id="2"/>
      <w:pPr>
        <w:pStyle w:val="Style_6"/>
      </w:pPr>
      <w:r>
        <w:t>1.1. Задача предсказания страховых выплат</w:t>
      </w:r>
    </w:p>
    <w:p w14:paraId="45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Задача предсказания страховых выплат относится к классу задач прогнозной аналитики и машинного обучения с учителем, а именно — к задачам регрессии. </w:t>
      </w:r>
    </w:p>
    <w:p w14:paraId="46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Её основная цель заключается в построении математической модели, способной на основе исторических данных о клиентах (таких как возраст, индекс массы тела, вредные привычки, регион проживания и другие демографические признаки) прогнозировать непрерывную числовую величину — ожидаемый размер страховой выплаты. </w:t>
      </w:r>
    </w:p>
    <w:p w14:paraId="47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Точное прогнозирование позволяет страховым компаниям оптимизировать тарифную политику, более эффективно управлять рисками и финансовыми резервами, а также выявлять скрытые закономерности, влияющие на стоимость страховых случаев.</w:t>
      </w:r>
    </w:p>
    <w:p w14:paraId="48000000">
      <w:pPr>
        <w:spacing w:after="159" w:before="24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</w:p>
    <w:p w14:paraId="49000000">
      <w:bookmarkStart w:id="3" w:name="__RefHeading___3"/>
      <w:bookmarkEnd w:id="3"/>
      <w:pPr>
        <w:pStyle w:val="Style_6"/>
      </w:pPr>
      <w:r>
        <w:t>1.2. Уточненная постановка задачи</w:t>
      </w:r>
    </w:p>
    <w:p w14:paraId="4A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В рамках данной работы решается задача множественной линейной регрессии, где целевой переменной (зависимой переменной) является столбец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charges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(размер страховых выплат), а признаками (независимыми переменными) — все остальные столбцы в наборе данных: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age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sex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bmi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children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smoker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region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.</w:t>
      </w:r>
    </w:p>
    <w:p w14:paraId="4B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Категориальные признаки (такие как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sex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smoker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region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, а также производный признак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weight_category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) перед обучением модели подвергаются процедуре One-Hot Encoding. </w:t>
      </w:r>
    </w:p>
    <w:p w14:paraId="4C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Процесс решения задачи включает в себя следующие этапы: первичный разведочный анализ данных (EDA), предобработка данных (обработка пропусков, кодирование категориальных переменных, нормализация числовых признаков), разделение данных на обучающую и тестовую выборки, обучение и валидация моделей, а также сравнительный анализ их эффективности по метрикам MSE, MAE и R².</w:t>
      </w:r>
    </w:p>
    <w:p w14:paraId="4D000000">
      <w:pPr>
        <w:spacing w:after="159" w:before="240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</w:p>
    <w:p w14:paraId="4E000000">
      <w:bookmarkStart w:id="4" w:name="__RefHeading___4"/>
      <w:bookmarkEnd w:id="4"/>
      <w:pPr>
        <w:pStyle w:val="Style_6"/>
      </w:pPr>
      <w:r>
        <w:t>1.3. Библиотеки, язык и среда разработки</w:t>
      </w:r>
    </w:p>
    <w:p w14:paraId="4F000000">
      <w:pPr>
        <w:spacing w:after="159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F9FAFB"/>
          <w:spacing w:val="0"/>
          <w:sz w:val="24"/>
          <w:shd w:fill="151517" w:val="clear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Работа выполнена на языке программирования Python версии 3.x, который был выбран благодаря его широкой распространённости в задачах анализа данных и машинного обучения, а также наличию мощного стека специализированных библиотек. </w:t>
      </w:r>
    </w:p>
    <w:p w14:paraId="50000000">
      <w:pPr>
        <w:spacing w:after="159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F9FAFB"/>
          <w:spacing w:val="0"/>
          <w:sz w:val="24"/>
          <w:shd w:fill="151517" w:val="clear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В качестве основной среды разработки использовалась Jupyter Notebook, что позволяет интерактивно выполнять код, визуализировать данные и документировать ход исследования. </w:t>
      </w:r>
    </w:p>
    <w:p w14:paraId="51000000">
      <w:pPr>
        <w:spacing w:after="159" w:before="240"/>
        <w:ind w:firstLine="0" w:left="0" w:right="0"/>
        <w:jc w:val="left"/>
        <w:rPr>
          <w:rFonts w:ascii="quote-cjk-patch" w:hAnsi="quote-cjk-patch"/>
          <w:b w:val="0"/>
          <w:i w:val="0"/>
          <w:caps w:val="0"/>
          <w:color w:val="F9FAFB"/>
          <w:spacing w:val="0"/>
          <w:sz w:val="24"/>
          <w:shd w:fill="151517" w:val="clear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Для решения поставленных задач были применены следующие библиотеки: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Pandas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— для манипуляций с данными и их загрузки;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NumPy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— для выполнения численных операций;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Matplotlib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Seaborn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— для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визуализации данных и построения графиков;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Scikit-learn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 xml:space="preserve">— для предобработки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t>данных, реализации алгоритмов машинного обучения (Linear Regression, Random Forest), их обучения и оценки качества.</w:t>
      </w:r>
    </w:p>
    <w:p w14:paraId="52000000">
      <w:pPr>
        <w:pStyle w:val="Style_6"/>
      </w:pPr>
    </w:p>
    <w:p w14:paraId="53000000">
      <w:bookmarkStart w:id="5" w:name="__RefHeading___111"/>
      <w:bookmarkEnd w:id="5"/>
      <w:pPr>
        <w:pStyle w:val="Style_6"/>
        <w:spacing w:after="159" w:before="238"/>
        <w:ind/>
        <w:jc w:val="left"/>
      </w:pPr>
      <w:r>
        <w:t>1.4. А</w:t>
      </w:r>
      <w:r>
        <w:t>нализ существующих методов предсказания страховых выплат.</w:t>
      </w:r>
    </w:p>
    <w:p w14:paraId="54000000">
      <w:pPr>
        <w:pStyle w:val="Style_2"/>
        <w:spacing w:after="159" w:before="238"/>
        <w:ind/>
        <w:jc w:val="left"/>
      </w:pPr>
      <w:r>
        <w:t>Первоначальная цель любого метода – создать модель, которая объясняет закономерности для каких-то данных из реального мира, так, что мы бы смогли предсказать что может произойти, с различными вводными данными.</w:t>
      </w:r>
    </w:p>
    <w:p w14:paraId="55000000">
      <w:pPr>
        <w:pStyle w:val="Style_2"/>
        <w:spacing w:after="159" w:before="238"/>
        <w:ind/>
        <w:jc w:val="left"/>
      </w:pPr>
      <w:r>
        <w:t xml:space="preserve">Простейшая модель, в которую мы можем внести наши данные – это линия. Когда мы пытаемся найти линию, которая лучше всего соответствует набору данных – мы используем </w:t>
      </w:r>
      <w:r>
        <w:rPr>
          <w:b w:val="1"/>
        </w:rPr>
        <w:t>Линейную Регрессию</w:t>
      </w:r>
      <w:r>
        <w:t>.</w:t>
      </w:r>
    </w:p>
    <w:p w14:paraId="56000000">
      <w:pPr>
        <w:pStyle w:val="Style_2"/>
        <w:spacing w:after="159" w:before="238"/>
        <w:ind/>
        <w:jc w:val="left"/>
        <w:rPr>
          <w:b w:val="1"/>
        </w:rPr>
      </w:pPr>
      <w:r>
        <w:rPr>
          <w:b w:val="1"/>
        </w:rPr>
        <w:t>Например:</w:t>
      </w:r>
    </w:p>
    <w:p w14:paraId="57000000">
      <w:pPr>
        <w:pStyle w:val="Style_2"/>
        <w:numPr>
          <w:numId w:val="2"/>
        </w:numPr>
        <w:spacing w:after="159" w:before="238"/>
        <w:ind/>
        <w:jc w:val="left"/>
      </w:pPr>
      <w:r>
        <w:t>Рыночная цена дома в зависимости от его площади. Можно ли предсказать за сколько будет продан дом, учитывая его площадь?</w:t>
      </w:r>
    </w:p>
    <w:p w14:paraId="58000000">
      <w:pPr>
        <w:pStyle w:val="Style_2"/>
        <w:numPr>
          <w:numId w:val="2"/>
        </w:numPr>
        <w:spacing w:after="159" w:before="238"/>
        <w:ind/>
        <w:jc w:val="left"/>
      </w:pPr>
      <w:r>
        <w:t>Налоговая ставка страны в зависимости от ее ВВП. Можно ли прогнозировать налогообложение на основе ВВП страны?</w:t>
      </w:r>
    </w:p>
    <w:p w14:paraId="59000000">
      <w:pPr>
        <w:pStyle w:val="Style_2"/>
        <w:spacing w:after="159" w:before="238"/>
        <w:ind/>
        <w:jc w:val="left"/>
      </w:pPr>
      <w:r>
        <w:t xml:space="preserve">Прямая определяется своим </w:t>
      </w:r>
      <w:r>
        <w:rPr>
          <w:b w:val="1"/>
        </w:rPr>
        <w:t>наклоном</w:t>
      </w:r>
      <w:r>
        <w:t xml:space="preserve"> и </w:t>
      </w:r>
      <w:r>
        <w:rPr>
          <w:b w:val="1"/>
        </w:rPr>
        <w:t>точкой пересечения</w:t>
      </w:r>
      <w:r>
        <w:t>. Это можно выразить через формулу:</w:t>
      </w:r>
    </w:p>
    <w:p w14:paraId="5A000000">
      <w:pPr>
        <w:pStyle w:val="Style_2"/>
        <w:spacing w:after="159" w:before="238"/>
        <w:ind/>
        <w:jc w:val="center"/>
      </w:pPr>
      <m:oMathPara>
        <m:oMath>
          <m:r>
            <w:rPr>
              <w:rFonts w:ascii="Cambria Math" w:hAnsi="Cambria Math"/>
              <w:sz w:val="24"/>
            </w:rPr>
            <m:t>y=</m:t>
          </m:r>
          <m:r>
            <w:rPr>
              <w:rFonts w:ascii="Cambria Math" w:hAnsi="Cambria Math"/>
              <w:sz w:val="24"/>
            </w:rPr>
            <m:rPr>
              <m:sty m:val="p"/>
            </m:rPr>
            <m:t>mx</m:t>
          </m:r>
          <m:r>
            <w:rPr>
              <w:rFonts w:ascii="Cambria Math" w:hAnsi="Cambria Math"/>
              <w:sz w:val="24"/>
            </w:rPr>
            <m:t>+b</m:t>
          </m:r>
        </m:oMath>
      </m:oMathPara>
    </w:p>
    <w:p w14:paraId="5B000000">
      <w:pPr>
        <w:pStyle w:val="Style_2"/>
        <w:spacing w:after="159" w:before="238"/>
        <w:ind/>
      </w:pPr>
      <w:r>
        <w:t>Где m – наклон, b – точка пересечения. y заданная точка на оси-y, которая соответствует заданному x на оси-x.</w:t>
      </w:r>
    </w:p>
    <w:p w14:paraId="5C000000">
      <w:pPr>
        <w:pStyle w:val="Style_2"/>
        <w:spacing w:after="159" w:before="238"/>
        <w:ind/>
        <w:jc w:val="left"/>
        <w:rPr>
          <w:b w:val="0"/>
        </w:rPr>
      </w:pPr>
      <w:r>
        <w:t xml:space="preserve">Для каждой точки мы высчитываем </w:t>
      </w:r>
      <w:r>
        <w:rPr>
          <w:b w:val="1"/>
        </w:rPr>
        <w:t>убыток</w:t>
      </w:r>
      <w:r>
        <w:rPr>
          <w:b w:val="0"/>
        </w:rPr>
        <w:t xml:space="preserve"> – число, которое измеряет неточность предсказания модели.</w:t>
      </w:r>
    </w:p>
    <w:p w14:paraId="5D000000">
      <w:pPr>
        <w:pStyle w:val="Style_2"/>
        <w:spacing w:after="159" w:before="238"/>
        <w:ind/>
        <w:jc w:val="left"/>
        <w:rPr>
          <w:b w:val="0"/>
        </w:rPr>
      </w:pPr>
      <w:r>
        <w:br w:type="page"/>
      </w:r>
      <w:r>
        <w:drawing>
          <wp:anchor allowOverlap="true" behindDoc="false" distL="114300" distR="114300" layoutInCell="true" locked="false" relativeHeight="251658240" simplePos="false">
            <wp:simplePos x="0" y="0"/>
            <wp:positionH relativeFrom="column">
              <wp:posOffset>0</wp:posOffset>
            </wp:positionH>
            <wp:positionV relativeFrom="page">
              <wp:posOffset>720090</wp:posOffset>
            </wp:positionV>
            <wp:extent cx="2720974" cy="2685113"/>
            <wp:wrapSquare distL="114300" distR="114300" wrapText="bothSides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2720974" cy="268511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 w:val="1"/>
        </w:rPr>
        <w:t>Фигура 1.</w:t>
      </w:r>
      <w:r>
        <w:rPr>
          <w:b w:val="0"/>
        </w:rPr>
        <w:t xml:space="preserve"> Вычисление убытка.</w:t>
      </w:r>
    </w:p>
    <w:p w14:paraId="5E000000">
      <w:pPr>
        <w:pStyle w:val="Style_2"/>
        <w:spacing w:after="159" w:before="238"/>
        <w:ind/>
        <w:jc w:val="left"/>
        <w:rPr>
          <w:b w:val="0"/>
        </w:rPr>
      </w:pPr>
    </w:p>
    <w:p w14:paraId="5F000000">
      <w:pPr>
        <w:pStyle w:val="Style_2"/>
        <w:spacing w:after="159" w:before="238"/>
        <w:ind/>
        <w:jc w:val="left"/>
        <w:rPr>
          <w:b w:val="0"/>
        </w:rPr>
      </w:pPr>
    </w:p>
    <w:p w14:paraId="60000000">
      <w:pPr>
        <w:pStyle w:val="Style_2"/>
        <w:spacing w:after="159" w:before="238"/>
        <w:ind/>
        <w:jc w:val="left"/>
        <w:rPr>
          <w:b w:val="0"/>
        </w:rPr>
      </w:pPr>
    </w:p>
    <w:p w14:paraId="61000000">
      <w:pPr>
        <w:pStyle w:val="Style_2"/>
        <w:numPr>
          <w:numId w:val="3"/>
        </w:numPr>
        <w:spacing w:after="159" w:before="238"/>
        <w:ind/>
        <w:jc w:val="left"/>
        <w:rPr>
          <w:b w:val="0"/>
        </w:rPr>
      </w:pPr>
      <w:r>
        <w:rPr>
          <w:b w:val="0"/>
        </w:rPr>
        <w:t>для точки A, дистанция в квадрате: 9.</w:t>
      </w:r>
    </w:p>
    <w:p w14:paraId="62000000">
      <w:pPr>
        <w:pStyle w:val="Style_2"/>
        <w:numPr>
          <w:numId w:val="3"/>
        </w:numPr>
        <w:spacing w:after="159" w:before="238"/>
        <w:ind/>
        <w:jc w:val="left"/>
        <w:rPr>
          <w:b w:val="0"/>
        </w:rPr>
      </w:pPr>
      <w:r>
        <w:rPr>
          <w:b w:val="0"/>
        </w:rPr>
        <w:t>для точки B, расстояние в квадрате: 1.</w:t>
      </w:r>
    </w:p>
    <w:p w14:paraId="63000000">
      <w:pPr>
        <w:pStyle w:val="Style_2"/>
        <w:spacing w:after="159" w:before="238"/>
        <w:ind/>
        <w:jc w:val="left"/>
        <w:rPr>
          <w:b w:val="0"/>
        </w:rPr>
      </w:pPr>
    </w:p>
    <w:p w14:paraId="64000000">
      <w:pPr>
        <w:pStyle w:val="Style_6"/>
        <w:ind/>
        <w:jc w:val="left"/>
      </w:pPr>
    </w:p>
    <w:p w14:paraId="65000000">
      <w:pPr>
        <w:pStyle w:val="Style_6"/>
        <w:ind/>
        <w:jc w:val="left"/>
      </w:pPr>
    </w:p>
    <w:p w14:paraId="66000000">
      <w:pPr>
        <w:pStyle w:val="Style_2"/>
        <w:spacing w:after="159" w:before="238"/>
        <w:ind/>
        <w:jc w:val="left"/>
      </w:pPr>
      <w:r>
        <w:t>Убыток в этой модели равен 10. Если найти линию, убыток которой меньше 10 – эта линия станет более хорошей моделью для данных.</w:t>
      </w:r>
    </w:p>
    <w:p w14:paraId="67000000">
      <w:pPr>
        <w:pStyle w:val="Style_2"/>
        <w:spacing w:after="159" w:before="238"/>
        <w:ind/>
        <w:jc w:val="left"/>
      </w:pPr>
      <w:r>
        <w:t xml:space="preserve">Минимизируя убыток, мы продвигаем каждый параметр вниз по кривой до того момента, пока мы уменьшаем убыток и останавливаемся в тот момент, когда мы достигаем минимального значения. Этот процесс называется </w:t>
      </w:r>
      <w:r>
        <w:t>градиентным спуском</w:t>
      </w:r>
      <w:r>
        <w:t>.</w:t>
      </w:r>
    </w:p>
    <w:p w14:paraId="68000000">
      <w:pPr>
        <w:pStyle w:val="Style_2"/>
      </w:pPr>
    </w:p>
    <w:p w14:paraId="69000000">
      <w:pPr>
        <w:pStyle w:val="Style_2"/>
      </w:pPr>
      <w:r>
        <w:drawing>
          <wp:anchor allowOverlap="true" behindDoc="false" distL="114300" distR="114300" layoutInCell="true" locked="false" relativeHeight="251658240" simplePos="false">
            <wp:simplePos x="0" y="0"/>
            <wp:positionH relativeFrom="column">
              <wp:posOffset>0</wp:posOffset>
            </wp:positionH>
            <wp:positionV relativeFrom="page">
              <wp:posOffset>5276420</wp:posOffset>
            </wp:positionV>
            <wp:extent cx="3330574" cy="2033466"/>
            <wp:wrapSquare distL="114300" distR="114300" wrapText="bothSides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3330574" cy="2033466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 w:val="1"/>
        </w:rPr>
        <w:t>Фигура 2.</w:t>
      </w:r>
      <w:r>
        <w:t xml:space="preserve"> Градиентный спуск.</w:t>
      </w:r>
    </w:p>
    <w:p w14:paraId="6A000000">
      <w:pPr>
        <w:pStyle w:val="Style_6"/>
        <w:spacing w:after="159" w:before="238"/>
        <w:ind/>
        <w:jc w:val="left"/>
        <w:rPr>
          <w:b w:val="0"/>
        </w:rPr>
      </w:pPr>
    </w:p>
    <w:p w14:paraId="6B000000">
      <w:pPr>
        <w:pStyle w:val="Style_6"/>
        <w:spacing w:after="159" w:before="238"/>
        <w:ind/>
        <w:jc w:val="left"/>
        <w:rPr>
          <w:b w:val="0"/>
        </w:rPr>
      </w:pPr>
    </w:p>
    <w:p w14:paraId="6C000000">
      <w:pPr>
        <w:pStyle w:val="Style_6"/>
        <w:spacing w:after="159" w:before="238"/>
        <w:ind/>
        <w:jc w:val="left"/>
        <w:rPr>
          <w:b w:val="0"/>
        </w:rPr>
      </w:pPr>
    </w:p>
    <w:p w14:paraId="6D000000">
      <w:pPr>
        <w:pStyle w:val="Style_6"/>
        <w:spacing w:after="159" w:before="238"/>
        <w:ind/>
        <w:jc w:val="left"/>
        <w:rPr>
          <w:b w:val="0"/>
        </w:rPr>
      </w:pPr>
    </w:p>
    <w:p w14:paraId="6E000000">
      <w:pPr>
        <w:pStyle w:val="Style_6"/>
        <w:spacing w:after="159" w:before="238"/>
        <w:ind/>
        <w:jc w:val="left"/>
        <w:rPr>
          <w:b w:val="0"/>
        </w:rPr>
      </w:pPr>
    </w:p>
    <w:p w14:paraId="6F000000">
      <w:pPr>
        <w:pStyle w:val="Style_2"/>
      </w:pPr>
    </w:p>
    <w:p w14:paraId="70000000">
      <w:pPr>
        <w:pStyle w:val="Style_2"/>
        <w:spacing w:after="159" w:before="238"/>
        <w:ind/>
        <w:jc w:val="left"/>
      </w:pPr>
      <w:r>
        <w:rPr>
          <w:b w:val="1"/>
        </w:rPr>
        <w:t>Градиентом</w:t>
      </w:r>
      <w:r>
        <w:t xml:space="preserve"> называется спуск кривой в любой точке. Градиенты вычисляются по формуле:</w:t>
      </w:r>
    </w:p>
    <w:p w14:paraId="71000000">
      <w:pPr>
        <w:pStyle w:val="Style_2"/>
        <w:spacing w:after="159" w:before="238"/>
        <w:ind/>
        <w:jc w:val="center"/>
      </w:pPr>
      <m:oMathPara>
        <m:oMath>
          <m:r>
            <w:rPr>
              <w:rFonts w:ascii="Cambria Math" w:hAnsi="Cambria Math"/>
              <w:sz w:val="24"/>
            </w:rPr>
            <m:t>-2N</m:t>
          </m:r>
          <m:nary>
            <m:naryPr>
              <m:chr m:val="∑"/>
              <m:limLoc m:val="undOvr"/>
              <m:grow m:val="on"/>
              <m:subHide m:val="off"/>
              <m:supHide m:val="off"/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r>
                <w:rPr>
                  <w:rFonts w:ascii="Cambria Math" w:hAnsi="Cambria Math"/>
                  <w:sz w:val="24"/>
                </w:rPr>
                <m:t>(</m:t>
              </m:r>
            </m:e>
          </m:nary>
          <m:sSub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−(</m:t>
          </m:r>
          <m:sSub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mx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+b))</m:t>
          </m:r>
        </m:oMath>
      </m:oMathPara>
    </w:p>
    <w:p w14:paraId="72000000">
      <w:pPr>
        <w:pStyle w:val="Style_2"/>
        <w:spacing w:after="159" w:before="238"/>
        <w:ind/>
      </w:pPr>
      <w:r>
        <w:t xml:space="preserve">Где N – количество точек в нашем наборе данных, m – текущее предположение о градиенте, b </w:t>
      </w:r>
      <w:r>
        <w:t>–</w:t>
      </w:r>
      <w:r>
        <w:t xml:space="preserve"> текущее предположение о точке пересечения.</w:t>
      </w:r>
    </w:p>
    <w:p w14:paraId="73000000">
      <w:pPr>
        <w:pStyle w:val="Style_2"/>
        <w:spacing w:after="159" w:before="238"/>
        <w:ind/>
        <w:jc w:val="left"/>
      </w:pPr>
      <w:r>
        <w:br w:type="page"/>
      </w:r>
      <w:r>
        <w:t>Чтобы найти m, или изменение убытка при изменении кривой, мы используем формулу:</w:t>
      </w:r>
    </w:p>
    <w:p w14:paraId="74000000">
      <w:pPr>
        <w:pStyle w:val="Style_2"/>
        <w:spacing w:after="159" w:before="238"/>
        <w:ind w:firstLine="0" w:left="0"/>
        <w:jc w:val="center"/>
      </w:pPr>
      <m:oMathPara>
        <m:oMath>
          <m:r>
            <w:rPr>
              <w:rFonts w:ascii="Cambria Math" w:hAnsi="Cambria Math"/>
              <w:sz w:val="24"/>
            </w:rPr>
            <m:t>−2N</m:t>
          </m:r>
          <m:sSub>
            <m:e>
              <m:nary>
                <m:naryPr>
                  <m:chr m:val="∑"/>
                  <m:limLoc m:val="undOvr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nary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(</m:t>
          </m:r>
          <m:sSub>
            <m:e>
              <m:r>
                <w:rPr>
                  <w:rFonts w:ascii="Cambria Math" w:hAnsi="Cambria Math"/>
                  <w:sz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−(</m:t>
          </m:r>
          <m:sSub>
            <m:e>
              <m:r>
                <w:rPr>
                  <w:rFonts w:ascii="Cambria Math" w:hAnsi="Cambria Math"/>
                  <w:sz w:val="24"/>
                </w:rPr>
                <m:rPr>
                  <m:sty m:val="p"/>
                </m:rPr>
                <m:t>mx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+b))</m:t>
          </m:r>
        </m:oMath>
      </m:oMathPara>
    </w:p>
    <w:p w14:paraId="75000000">
      <w:pPr>
        <w:pStyle w:val="Style_2"/>
        <w:spacing w:after="159" w:before="238"/>
        <w:ind w:firstLine="0" w:left="0"/>
        <w:jc w:val="left"/>
      </w:pPr>
      <w:r>
        <w:t>Для того, чтобы масштабировать размер шага, нужно умножить градиент на скорость обучения.</w:t>
      </w:r>
    </w:p>
    <w:p w14:paraId="76000000">
      <w:pPr>
        <w:pStyle w:val="Style_2"/>
        <w:spacing w:after="159" w:before="238"/>
        <w:ind w:firstLine="0" w:left="0"/>
        <w:jc w:val="center"/>
      </w:pPr>
      <m:oMathPara>
        <m:oMath>
          <m:r>
            <w:rPr>
              <w:rFonts w:ascii="Cambria Math" w:hAnsi="Cambria Math"/>
              <w:sz w:val="24"/>
            </w:rPr>
            <m:rPr>
              <m:nor/>
            </m:rPr>
            <m:t>новое _ b</m:t>
          </m:r>
          <m: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rPr>
              <m:nor/>
            </m:rPr>
            <m:t>текущее _ b</m:t>
          </m:r>
          <m:r>
            <w:rPr>
              <w:rFonts w:ascii="Cambria Math" w:hAnsi="Cambria Math"/>
              <w:sz w:val="24"/>
            </w:rPr>
            <m:t>-(</m:t>
          </m:r>
          <m:r>
            <w:rPr>
              <w:rFonts w:ascii="Cambria Math" w:hAnsi="Cambria Math"/>
              <w:sz w:val="24"/>
            </w:rPr>
            <m:rPr>
              <m:nor/>
            </m:rPr>
            <m:t>скорость _ обучения</m:t>
          </m:r>
          <m:r>
            <w:rPr>
              <w:rFonts w:ascii="Cambria Math" w:hAnsi="Cambria Math"/>
              <w:sz w:val="24"/>
            </w:rPr>
            <m:t>×</m:t>
          </m:r>
          <m:r>
            <w:rPr>
              <w:rFonts w:ascii="Cambria Math" w:hAnsi="Cambria Math"/>
              <w:sz w:val="24"/>
            </w:rPr>
            <m:rPr>
              <m:nor/>
            </m:rPr>
            <m:t>b _ градиент</m:t>
          </m:r>
          <m:r>
            <w:rPr>
              <w:rFonts w:ascii="Cambria Math" w:hAnsi="Cambria Math"/>
              <w:sz w:val="24"/>
            </w:rPr>
            <m:t>)</m:t>
          </m:r>
        </m:oMath>
      </m:oMathPara>
    </w:p>
    <w:p w14:paraId="77000000">
      <w:bookmarkStart w:id="6" w:name="__RefHeading___77"/>
      <w:bookmarkEnd w:id="6"/>
      <w:pPr>
        <w:pStyle w:val="Style_6"/>
        <w:spacing w:after="159" w:before="238"/>
        <w:ind/>
        <w:jc w:val="left"/>
        <w:rPr>
          <w:b w:val="0"/>
        </w:rPr>
      </w:pPr>
      <w:r>
        <w:rPr>
          <w:b w:val="0"/>
        </w:rPr>
        <w:t xml:space="preserve">Где </w:t>
      </w:r>
      <w:r>
        <w:rPr>
          <w:b w:val="1"/>
        </w:rPr>
        <w:t>новое_b</w:t>
      </w:r>
      <w:r>
        <w:rPr>
          <w:b w:val="0"/>
        </w:rPr>
        <w:t xml:space="preserve"> – это наше предположение относительно значения </w:t>
      </w:r>
      <w:r>
        <w:rPr>
          <w:b w:val="1"/>
        </w:rPr>
        <w:t>b</w:t>
      </w:r>
      <w:r>
        <w:rPr>
          <w:b w:val="0"/>
        </w:rPr>
        <w:t xml:space="preserve">, </w:t>
      </w:r>
      <w:r>
        <w:rPr>
          <w:b w:val="1"/>
        </w:rPr>
        <w:t>b_градиент</w:t>
      </w:r>
      <w:r>
        <w:rPr>
          <w:b w:val="0"/>
        </w:rPr>
        <w:t xml:space="preserve"> – это градиент кривой потерь при нашем текущем предположении, а </w:t>
      </w:r>
      <w:r>
        <w:rPr>
          <w:b w:val="1"/>
        </w:rPr>
        <w:t>скорость_обучения</w:t>
      </w:r>
      <w:r>
        <w:rPr>
          <w:b w:val="0"/>
        </w:rPr>
        <w:t xml:space="preserve"> – пропорционален размеру шага, который нужно сделать. </w:t>
      </w:r>
    </w:p>
    <w:p w14:paraId="78000000">
      <w:bookmarkStart w:id="7" w:name="__RefHeading___112"/>
      <w:bookmarkEnd w:id="7"/>
      <w:pPr>
        <w:pStyle w:val="Style_6"/>
        <w:spacing w:after="159" w:before="238"/>
        <w:ind/>
        <w:jc w:val="left"/>
        <w:rPr>
          <w:b w:val="0"/>
        </w:rPr>
      </w:pPr>
      <w:r>
        <w:rPr>
          <w:b w:val="0"/>
        </w:rPr>
        <w:t>Чтобы узнать когда остановить обучение нашей модели, нам нужно определить</w:t>
      </w:r>
      <w:r>
        <w:t xml:space="preserve"> сходимость</w:t>
      </w:r>
      <w:r>
        <w:rPr>
          <w:b w:val="0"/>
        </w:rPr>
        <w:t>. Сходимость – это когда убыток перестает изменяться (или изменяется очень медленно)</w:t>
      </w:r>
    </w:p>
    <w:p w14:paraId="79000000">
      <w:bookmarkStart w:id="8" w:name="__RefHeading___116"/>
      <w:bookmarkEnd w:id="8"/>
      <w:pPr>
        <w:pStyle w:val="Style_6"/>
        <w:spacing w:after="159" w:before="238"/>
        <w:ind/>
        <w:jc w:val="left"/>
        <w:rPr>
          <w:b w:val="0"/>
        </w:rPr>
      </w:pPr>
      <w:r>
        <w:rPr>
          <w:b w:val="0"/>
        </w:rPr>
        <w:t xml:space="preserve">Нам необходимо выбрать скорость обучения, которая будет определять продвижение вниз по кривой. Слишком низкая скорость обучения потребует много времени для достижения сходимости. Слишком высокая скорость обучения может пропустить наилучшее значение. В итоге мы можем так и не достигнуть сходимости. </w:t>
      </w:r>
    </w:p>
    <w:p w14:paraId="7A000000">
      <w:bookmarkStart w:id="9" w:name="__RefHeading___117"/>
      <w:bookmarkEnd w:id="9"/>
      <w:pPr>
        <w:pStyle w:val="Style_6"/>
        <w:spacing w:after="159" w:before="238"/>
        <w:ind/>
        <w:jc w:val="left"/>
        <w:rPr>
          <w:b w:val="0"/>
        </w:rPr>
      </w:pPr>
      <w:r>
        <w:rPr>
          <w:b w:val="0"/>
        </w:rPr>
        <w:t xml:space="preserve">Для обучения модели не требуется поиск абсолютно наилучшей скорости обучения. Достаточно найти такую скорость обучения, чтобы градиентный спуск сходился с необходимой эффективности.  </w:t>
      </w:r>
    </w:p>
    <w:p w14:paraId="7B000000">
      <w:bookmarkStart w:id="10" w:name="__RefHeading___119"/>
      <w:bookmarkEnd w:id="10"/>
      <w:pPr>
        <w:pStyle w:val="Style_6"/>
        <w:spacing w:after="159" w:before="238"/>
        <w:ind/>
        <w:jc w:val="left"/>
        <w:rPr>
          <w:b w:val="0"/>
        </w:rPr>
      </w:pPr>
      <w:r>
        <w:br w:type="page"/>
      </w:r>
      <w:r>
        <w:t xml:space="preserve">2. </w:t>
      </w:r>
      <w:r>
        <w:t>Первичный разведочный анализ данных (EDA). Часть 1.</w:t>
      </w:r>
    </w:p>
    <w:p w14:paraId="7C000000">
      <w:pPr>
        <w:pStyle w:val="Style_2"/>
        <w:rPr>
          <w:rFonts w:ascii="Times New Roman" w:hAnsi="Times New Roman"/>
        </w:rPr>
      </w:pPr>
    </w:p>
    <w:p w14:paraId="7D000000">
      <w:pPr>
        <w:pStyle w:val="Style_2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Таблицы 1 и 2.</w:t>
      </w:r>
      <w:r>
        <w:rPr>
          <w:rFonts w:ascii="Times New Roman" w:hAnsi="Times New Roman"/>
        </w:rPr>
        <w:t xml:space="preserve"> Просмотр и суммирование данных.</w:t>
      </w:r>
    </w:p>
    <w:p w14:paraId="7E000000">
      <w:pPr>
        <w:spacing w:after="0" w:before="0"/>
        <w:ind w:firstLine="0" w:left="0" w:right="0"/>
        <w:jc w:val="left"/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</w:pP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 age sex     bmi     children  smoker region     charges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0   19  female  27.900         0    yes  southwest  16884.92400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   18    male  33.770         1     no  southeast   1725.55230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   28    male  33.000         3     no  southeast   4449.46200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3   33    male  22.705         0     no  northwest  21984.47061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4   32    male  28.880         0     no  northwest   3866.85520</w:t>
      </w:r>
    </w:p>
    <w:p w14:paraId="7F000000">
      <w:pPr>
        <w:pStyle w:val="Style_2"/>
        <w:rPr>
          <w:rFonts w:ascii="Times New Roman" w:hAnsi="Times New Roman"/>
        </w:rPr>
      </w:pPr>
    </w:p>
    <w:p w14:paraId="80000000">
      <w:pPr>
        <w:spacing w:after="0" w:before="0"/>
        <w:ind w:firstLine="0" w:left="0" w:right="0"/>
        <w:jc w:val="left"/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</w:pP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            age   sex          bmi     children smoker     region  \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count   1338.000000  1338  1338.000000  1338.000000   1338       1338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unique          NaN     2          NaN          NaN      2          4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top             NaN  male          NaN          NaN     no  southeast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freq            NaN   676          NaN          NaN   1064        364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mean      39.207025   NaN    30.663397     1.094918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std       14.049960   NaN     6.098187     1.205493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min       18.000000   NaN    15.960000     0.000000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25%       27.000000   NaN    26.296250     0.000000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50%       39.000000   NaN    30.400000     1.000000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75%       51.000000   NaN    34.693750     2.000000    NaN        NaN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max       64.000000   NaN    53.130000     5.000000    NaN        NaN   </w:t>
      </w:r>
      <w:r>
        <w:br/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          </w:t>
      </w:r>
      <w:r>
        <w:br w:type="page"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      charges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count    1338.000000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unique           NaN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top              NaN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freq             NaN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mean    13270.422265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std     12110.011237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min      1121.873900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25%      4740.287150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50%      9382.033000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75%     16639.912515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max     63770.428010</w:t>
      </w:r>
    </w:p>
    <w:p w14:paraId="81000000">
      <w:pPr>
        <w:pStyle w:val="Style_2"/>
        <w:rPr>
          <w:rFonts w:ascii="Times New Roman" w:hAnsi="Times New Roman"/>
        </w:rPr>
      </w:pPr>
    </w:p>
    <w:p w14:paraId="82000000">
      <w:pPr>
        <w:pStyle w:val="Style_2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Таблица 3.</w:t>
      </w:r>
      <w:r>
        <w:rPr>
          <w:rFonts w:ascii="Times New Roman" w:hAnsi="Times New Roman"/>
        </w:rPr>
        <w:t xml:space="preserve"> Типы данных в датасете.</w:t>
      </w:r>
    </w:p>
    <w:p w14:paraId="83000000">
      <w:pPr>
        <w:spacing w:after="0" w:before="0"/>
        <w:ind w:firstLine="0" w:left="0" w:right="0"/>
        <w:jc w:val="left"/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</w:pP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age           int64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sex          object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bmi         float64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children      int64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smoker       object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region       object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charges     float64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dtype: object</w:t>
      </w:r>
    </w:p>
    <w:p w14:paraId="84000000">
      <w:pPr>
        <w:pStyle w:val="Style_2"/>
        <w:rPr>
          <w:rFonts w:ascii="Times New Roman" w:hAnsi="Times New Roman"/>
        </w:rPr>
      </w:pPr>
    </w:p>
    <w:p w14:paraId="85000000">
      <w:pPr>
        <w:spacing w:after="0" w:before="0"/>
        <w:ind w:firstLine="0" w:left="0" w:right="0"/>
        <w:jc w:val="left"/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</w:pPr>
      <w:r>
        <w:rPr>
          <w:b w:val="1"/>
        </w:rPr>
        <w:t>Таблица 4.</w:t>
      </w:r>
      <w:r>
        <w:t xml:space="preserve"> Нормализация поля bmi.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0       Overweight  27.900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          Obesity  33.770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          Obesity  33.000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3    Normal weight  22.705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4       Overweight  28.880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5       Overweight  25.740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6          Obesity  33.440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7       Overweight  27.740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8       Overweight  29.830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9       Overweight  25.840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10      Overweight  26.220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11      Overweight  26.290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12         Obesity  34.400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13         Obesity  39.820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14         Obesity  42.130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15   Normal weight  24.600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16         Obesity  30.780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17   Normal weight  23.845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18         Obesity  40.300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19         Obesity  35.300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20         Obesity  36.005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21         Obesity  32.400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22         Obesity  34.100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23         Obesity  31.920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24      Overweight  28.025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25      Overweight  27.720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26   Normal weight  23.085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27         Obesity  32.775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28     Underweight  17.385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>29         Obesity  36.300</w:t>
      </w:r>
    </w:p>
    <w:p w14:paraId="86000000">
      <w:pPr>
        <w:pStyle w:val="Style_2"/>
        <w:rPr>
          <w:rFonts w:ascii="Times New Roman" w:hAnsi="Times New Roman"/>
        </w:rPr>
      </w:pPr>
    </w:p>
    <w:p w14:paraId="87000000">
      <w:pPr>
        <w:pStyle w:val="Style_2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t>Таблица 5.</w:t>
      </w:r>
      <w:r>
        <w:rPr>
          <w:rFonts w:ascii="Times New Roman" w:hAnsi="Times New Roman"/>
        </w:rPr>
        <w:t xml:space="preserve"> Нормализуем weight_category и region при помощи One-Hot Encoding:</w:t>
      </w:r>
    </w:p>
    <w:p w14:paraId="88000000">
      <w:pPr>
        <w:pStyle w:val="Style_2"/>
        <w:ind/>
        <w:jc w:val="left"/>
        <w:rPr>
          <w:rFonts w:ascii="Times New Roman" w:hAnsi="Times New Roman"/>
        </w:rPr>
      </w:pP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age     sex     bmi  children smoker      charges  \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0   19  female  27.900         0    yes  16884.92400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1   18    male  33.770         1     no   1725.55230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   28    male  33.000         3     no   4449.46200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3   33    male  22.705         0     no  21984.47061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4   32    male  28.880         0     no   3866.85520   </w:t>
      </w:r>
      <w:r>
        <w:br/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weight_category_Normal weight  weight_category_Obesity  \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0                              0                        0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1                              0                        1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2                              0                        1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3                              1                        0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4                              0                        0   </w:t>
      </w:r>
      <w:r>
        <w:br/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weight_category_Overweight  weight_category_Underweight  region_northeast  \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0                           1                            0                 0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1                           0                            0                 0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2                           0                            0                 0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3                           0                            0                 0 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4                           1                            0                 0   </w:t>
      </w:r>
      <w:r>
        <w:br/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   region_northwest  region_southeast  region_southwest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0                 0                 0                 1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1                 0                 1                 0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2                 0                 1                 0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3                 1                 0                 0  </w:t>
      </w:r>
      <w:r>
        <w:br/>
      </w:r>
      <w:r>
        <w:rPr>
          <w:rFonts w:ascii="menlo" w:hAnsi="menlo"/>
          <w:b w:val="0"/>
          <w:i w:val="0"/>
          <w:caps w:val="0"/>
          <w:color w:val="000000"/>
          <w:spacing w:val="0"/>
          <w:sz w:val="20"/>
          <w:highlight w:val="white"/>
        </w:rPr>
        <w:t xml:space="preserve">4                 1                 0                 0  </w:t>
      </w:r>
    </w:p>
    <w:p w14:paraId="89000000">
      <w:pPr>
        <w:pStyle w:val="Style_2"/>
        <w:rPr>
          <w:rFonts w:ascii="Times New Roman" w:hAnsi="Times New Roman"/>
        </w:rPr>
      </w:pPr>
    </w:p>
    <w:p w14:paraId="8A000000">
      <w:pPr>
        <w:pStyle w:val="Style_2"/>
        <w:rPr>
          <w:rFonts w:ascii="Times New Roman" w:hAnsi="Times New Roman"/>
        </w:rPr>
      </w:pPr>
    </w:p>
    <w:p w14:paraId="8B000000">
      <w:bookmarkStart w:id="11" w:name="__RefHeading___6"/>
      <w:bookmarkEnd w:id="11"/>
      <w:pPr>
        <w:pStyle w:val="Style_6"/>
      </w:pPr>
      <w:r>
        <w:br w:type="page"/>
      </w:r>
      <w:r>
        <w:t>2. Первичный разведочный анализ данных (EDA). Часть 2.</w:t>
      </w:r>
    </w:p>
    <w:p w14:paraId="8C000000">
      <w:pPr>
        <w:ind w:firstLine="0" w:left="0"/>
        <w:jc w:val="left"/>
      </w:pPr>
      <w:r>
        <w:t>Ответим на следующие вопросы:</w:t>
      </w:r>
    </w:p>
    <w:p w14:paraId="8D000000">
      <w:pPr>
        <w:ind w:firstLine="0" w:left="0"/>
        <w:jc w:val="left"/>
      </w:pPr>
    </w:p>
    <w:p w14:paraId="8E000000">
      <w:pPr>
        <w:numPr>
          <w:numId w:val="4"/>
        </w:numPr>
        <w:ind/>
        <w:jc w:val="left"/>
        <w:rPr>
          <w:b w:val="1"/>
        </w:rPr>
      </w:pPr>
      <w:r>
        <w:rPr>
          <w:b w:val="1"/>
          <w:sz w:val="30"/>
        </w:rPr>
        <w:t xml:space="preserve">Как между собой соотносятся bmi </w:t>
      </w:r>
      <w:r>
        <w:rPr>
          <w:b w:val="1"/>
        </w:rPr>
        <w:drawing>
          <wp:inline>
            <wp:extent cx="6264274" cy="4605145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274" cy="46051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F000000">
      <w:pPr>
        <w:ind/>
        <w:jc w:val="left"/>
      </w:pPr>
    </w:p>
    <w:p w14:paraId="90000000">
      <w:pPr>
        <w:ind/>
        <w:jc w:val="left"/>
      </w:pPr>
      <w:r>
        <w:drawing>
          <wp:inline>
            <wp:extent cx="6264275" cy="3875175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275" cy="38751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1000000">
      <w:pPr>
        <w:ind/>
        <w:jc w:val="left"/>
      </w:pPr>
    </w:p>
    <w:p w14:paraId="92000000">
      <w:pPr>
        <w:spacing w:after="159"/>
        <w:ind/>
        <w:jc w:val="both"/>
      </w:pPr>
      <w:r>
        <w:br w:type="page"/>
      </w:r>
      <w:r>
        <w:rPr>
          <w:rFonts w:ascii="Times New Roman" w:hAnsi="Times New Roman"/>
          <w:b w:val="1"/>
          <w:sz w:val="27"/>
        </w:rPr>
        <w:t>Наблюдение 1.</w:t>
      </w:r>
      <w:r>
        <w:rPr>
          <w:rFonts w:ascii="Times New Roman" w:hAnsi="Times New Roman"/>
          <w:sz w:val="27"/>
        </w:rPr>
        <w:t xml:space="preserve"> Благодаря визуализации, мы можем рассмотреть что люди с BMI классифицированным как 'Obesity' соблюдают тенденцию иметь более высокую стоимость страховых выплат, а люди с BMI 'Underweight' имеют более низкую стоимость страховых выплат. 'Normal weight' и 'Overweight' в общем и целом одинаковы.</w:t>
      </w:r>
    </w:p>
    <w:p w14:paraId="93000000">
      <w:pPr>
        <w:ind/>
        <w:jc w:val="left"/>
      </w:pPr>
    </w:p>
    <w:p w14:paraId="94000000">
      <w:pPr>
        <w:numPr>
          <w:numId w:val="4"/>
        </w:numPr>
        <w:ind/>
        <w:jc w:val="left"/>
        <w:rPr>
          <w:b w:val="1"/>
          <w:sz w:val="30"/>
        </w:rPr>
      </w:pPr>
      <w:r>
        <w:rPr>
          <w:b w:val="1"/>
          <w:sz w:val="30"/>
        </w:rPr>
        <w:t>Посчитать центральную тенденцию charges.</w:t>
      </w:r>
    </w:p>
    <w:p w14:paraId="95000000">
      <w:pPr>
        <w:ind/>
        <w:jc w:val="left"/>
      </w:pPr>
    </w:p>
    <w:p w14:paraId="96000000">
      <w:r>
        <w:t xml:space="preserve">    Mean: 13270.422265141257</w:t>
      </w:r>
    </w:p>
    <w:p w14:paraId="97000000">
      <w:r>
        <w:t xml:space="preserve">    Median: 9382.033</w:t>
      </w:r>
    </w:p>
    <w:p w14:paraId="98000000">
      <w:r>
        <w:t xml:space="preserve">    Mode: 0    1639.5631</w:t>
      </w:r>
    </w:p>
    <w:p w14:paraId="99000000">
      <w:r>
        <w:t xml:space="preserve">    Name: charges, dtype: float64</w:t>
      </w:r>
    </w:p>
    <w:p w14:paraId="9A000000">
      <w:pPr>
        <w:ind/>
        <w:jc w:val="left"/>
      </w:pPr>
      <w:r>
        <w:t xml:space="preserve">    Trimmed mean: 9877.310386652985</w:t>
      </w:r>
    </w:p>
    <w:p w14:paraId="9B000000">
      <w:pPr>
        <w:ind/>
        <w:jc w:val="left"/>
      </w:pPr>
    </w:p>
    <w:p w14:paraId="9C000000">
      <w:pPr>
        <w:ind/>
        <w:jc w:val="left"/>
      </w:pPr>
      <w:r>
        <w:drawing>
          <wp:inline>
            <wp:extent cx="6264274" cy="4739346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264274" cy="47393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000000">
      <w:p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2.</w:t>
      </w:r>
      <w:r>
        <w:rPr>
          <w:rFonts w:ascii="Times New Roman" w:hAnsi="Times New Roman"/>
          <w:sz w:val="27"/>
        </w:rPr>
        <w:t xml:space="preserve"> </w:t>
      </w:r>
      <w:r>
        <w:rPr>
          <w:rFonts w:ascii="Times New Roman" w:hAnsi="Times New Roman"/>
          <w:sz w:val="27"/>
        </w:rPr>
        <w:t>Из графика видно, что данные имеют выраженное правостороннее смещение (положительную асимметрию), что приводит к тому, что среднее значение оказывается выше медианы. Это указывает на наличие экстремально высоких значений в правой части распределения.</w:t>
      </w:r>
    </w:p>
    <w:p w14:paraId="9E000000">
      <w:pPr>
        <w:spacing w:after="159"/>
        <w:ind/>
        <w:rPr>
          <w:rFonts w:ascii="Times New Roman" w:hAnsi="Times New Roman"/>
          <w:sz w:val="27"/>
        </w:rPr>
      </w:pPr>
    </w:p>
    <w:p w14:paraId="9F000000">
      <w:p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3.</w:t>
      </w:r>
      <w:r>
        <w:rPr>
          <w:rFonts w:ascii="Times New Roman" w:hAnsi="Times New Roman"/>
          <w:sz w:val="27"/>
        </w:rPr>
        <w:t xml:space="preserve"> </w:t>
      </w:r>
      <w:r>
        <w:rPr>
          <w:rFonts w:ascii="Times New Roman" w:hAnsi="Times New Roman"/>
          <w:sz w:val="27"/>
        </w:rPr>
        <w:t>Мы видим, что усеченное среднее значение достаточно близко к медиане и моде. Особенно это заметно при отсечении 20% данных с каждой стороны распределения.</w:t>
      </w:r>
    </w:p>
    <w:p w14:paraId="A0000000">
      <w:pPr>
        <w:spacing w:after="159"/>
        <w:ind/>
        <w:jc w:val="left"/>
        <w:rPr>
          <w:rFonts w:ascii="Times New Roman" w:hAnsi="Times New Roman"/>
          <w:sz w:val="27"/>
        </w:rPr>
      </w:pPr>
    </w:p>
    <w:p w14:paraId="A1000000">
      <w:pPr>
        <w:spacing w:after="159"/>
        <w:ind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4.</w:t>
      </w:r>
      <w:r>
        <w:rPr>
          <w:rFonts w:ascii="Times New Roman" w:hAnsi="Times New Roman"/>
          <w:sz w:val="27"/>
        </w:rPr>
        <w:t xml:space="preserve"> </w:t>
      </w:r>
      <w:r>
        <w:rPr>
          <w:rFonts w:ascii="Times New Roman" w:hAnsi="Times New Roman"/>
          <w:sz w:val="27"/>
        </w:rPr>
        <w:t>На основе анализа можно сделать вывод, что типичная стоимость страховки составляет около 9400 долларов.</w:t>
      </w:r>
    </w:p>
    <w:p w14:paraId="A2000000">
      <w:pPr>
        <w:ind/>
        <w:jc w:val="left"/>
      </w:pPr>
    </w:p>
    <w:p w14:paraId="A3000000">
      <w:pPr>
        <w:numPr>
          <w:numId w:val="4"/>
        </w:numPr>
        <w:ind/>
        <w:jc w:val="left"/>
        <w:rPr>
          <w:rFonts w:ascii="Times New Roman" w:hAnsi="Times New Roman"/>
          <w:b w:val="1"/>
          <w:sz w:val="30"/>
        </w:rPr>
      </w:pPr>
      <w:r>
        <w:rPr>
          <w:rFonts w:ascii="Times New Roman" w:hAnsi="Times New Roman"/>
          <w:b w:val="1"/>
          <w:sz w:val="30"/>
        </w:rPr>
        <w:t>Посчитать дисперсию charges.</w:t>
      </w:r>
    </w:p>
    <w:p w14:paraId="A4000000">
      <w:pPr>
        <w:ind/>
        <w:jc w:val="left"/>
      </w:pPr>
    </w:p>
    <w:p w14:paraId="A5000000">
      <w:r>
        <w:t xml:space="preserve">    Range: 62648.554110000005</w:t>
      </w:r>
    </w:p>
    <w:p w14:paraId="A6000000">
      <w:r>
        <w:t xml:space="preserve">    Interquartile range: 11899.625365</w:t>
      </w:r>
    </w:p>
    <w:p w14:paraId="A7000000">
      <w:r>
        <w:t xml:space="preserve">    Variance: 146652372.15285483</w:t>
      </w:r>
    </w:p>
    <w:p w14:paraId="A8000000">
      <w:r>
        <w:t xml:space="preserve">    Standard deviation: 12110.011236693996</w:t>
      </w:r>
    </w:p>
    <w:p w14:paraId="A9000000">
      <w:pPr>
        <w:ind/>
        <w:jc w:val="left"/>
      </w:pPr>
      <w:r>
        <w:t xml:space="preserve">    Mean Absolute Deviation: 9091.12658113703</w:t>
      </w:r>
    </w:p>
    <w:p w14:paraId="AA000000">
      <w:pPr>
        <w:ind/>
        <w:jc w:val="left"/>
      </w:pPr>
    </w:p>
    <w:p w14:paraId="AB000000">
      <w:p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5.</w:t>
      </w:r>
      <w:r>
        <w:rPr>
          <w:rFonts w:ascii="Times New Roman" w:hAnsi="Times New Roman"/>
          <w:sz w:val="27"/>
        </w:rPr>
        <w:t xml:space="preserve"> Мы видим, что размах (range) не подходит для описания данных в данном случае, поскольку у одного или нескольких человек стоимость страховых выплат превышает 60 000$. Следовательно, нам следует рассмотреть межквартильный размах (IQR).</w:t>
      </w:r>
    </w:p>
    <w:p w14:paraId="AC000000">
      <w:pPr>
        <w:spacing w:after="159"/>
        <w:ind/>
        <w:rPr>
          <w:rFonts w:ascii="Times New Roman" w:hAnsi="Times New Roman"/>
          <w:sz w:val="27"/>
        </w:rPr>
      </w:pPr>
    </w:p>
    <w:p w14:paraId="AD000000">
      <w:pPr>
        <w:spacing w:after="159"/>
        <w:ind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6.</w:t>
      </w:r>
      <w:r>
        <w:rPr>
          <w:rFonts w:ascii="Times New Roman" w:hAnsi="Times New Roman"/>
          <w:sz w:val="27"/>
        </w:rPr>
        <w:t xml:space="preserve"> Стандартное отклонение не является достаточно информативной мерой в данном случае, поскольку наши данные имеют выраженное правостороннее смещение. Поэтому целесообразно рассмотреть среднее абсолютное отклонение (MAD).</w:t>
      </w:r>
    </w:p>
    <w:p w14:paraId="AE000000">
      <w:pPr>
        <w:spacing w:after="159"/>
        <w:ind/>
        <w:rPr>
          <w:rFonts w:ascii="Times New Roman" w:hAnsi="Times New Roman"/>
          <w:sz w:val="27"/>
        </w:rPr>
      </w:pPr>
    </w:p>
    <w:p w14:paraId="AF000000">
      <w:pPr>
        <w:spacing w:after="159"/>
        <w:ind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t xml:space="preserve">Наблюдение 7. </w:t>
      </w:r>
      <w:r>
        <w:rPr>
          <w:rFonts w:ascii="Times New Roman" w:hAnsi="Times New Roman"/>
          <w:sz w:val="27"/>
        </w:rPr>
        <w:t xml:space="preserve">Из </w:t>
      </w:r>
      <w:r>
        <w:rPr>
          <w:rFonts w:ascii="Times New Roman" w:hAnsi="Times New Roman"/>
          <w:i w:val="1"/>
          <w:sz w:val="27"/>
        </w:rPr>
        <w:t>наблюдения 1</w:t>
      </w:r>
      <w:r>
        <w:rPr>
          <w:rFonts w:ascii="Times New Roman" w:hAnsi="Times New Roman"/>
          <w:sz w:val="27"/>
        </w:rPr>
        <w:t xml:space="preserve"> мы видим, что центральные 50% данных сконцентрированы вокруг медианы. </w:t>
      </w:r>
      <w:r>
        <w:rPr>
          <w:rFonts w:ascii="Times New Roman" w:hAnsi="Times New Roman"/>
          <w:i w:val="1"/>
          <w:sz w:val="27"/>
        </w:rPr>
        <w:t>Наблюдение 2</w:t>
      </w:r>
      <w:r>
        <w:rPr>
          <w:rFonts w:ascii="Times New Roman" w:hAnsi="Times New Roman"/>
          <w:sz w:val="27"/>
        </w:rPr>
        <w:t xml:space="preserve"> показывает, что страховые затраты большинства людей тесно сгруппированы вокруг типичной стоимости.</w:t>
      </w:r>
    </w:p>
    <w:p w14:paraId="B0000000">
      <w:pPr>
        <w:spacing w:after="159"/>
        <w:ind/>
        <w:rPr>
          <w:rFonts w:ascii="Times New Roman" w:hAnsi="Times New Roman"/>
          <w:b w:val="1"/>
        </w:rPr>
      </w:pPr>
      <w:r>
        <w:br w:type="page"/>
      </w:r>
    </w:p>
    <w:p w14:paraId="B1000000">
      <w:pPr>
        <w:numPr>
          <w:numId w:val="4"/>
        </w:numPr>
        <w:ind/>
        <w:jc w:val="left"/>
      </w:pPr>
      <w:r>
        <w:rPr>
          <w:rFonts w:ascii="Times New Roman" w:hAnsi="Times New Roman"/>
          <w:b w:val="1"/>
          <w:sz w:val="30"/>
        </w:rPr>
        <w:t>Посчитать центральную тенденцию ages в датасете.</w:t>
      </w:r>
    </w:p>
    <w:p w14:paraId="B2000000">
      <w:pPr>
        <w:ind/>
        <w:jc w:val="left"/>
      </w:pPr>
    </w:p>
    <w:p w14:paraId="B3000000">
      <w:r>
        <w:t xml:space="preserve">    Mean: 39.20702541106129</w:t>
      </w:r>
    </w:p>
    <w:p w14:paraId="B4000000">
      <w:r>
        <w:t xml:space="preserve">    Median: 39.0</w:t>
      </w:r>
    </w:p>
    <w:p w14:paraId="B5000000">
      <w:r>
        <w:t xml:space="preserve">    Mode: 0    18</w:t>
      </w:r>
    </w:p>
    <w:p w14:paraId="B6000000">
      <w:r>
        <w:t xml:space="preserve">    Name: age, dtype: int64</w:t>
      </w:r>
    </w:p>
    <w:p w14:paraId="B7000000">
      <w:pPr>
        <w:ind/>
        <w:jc w:val="left"/>
      </w:pPr>
      <w:r>
        <w:t xml:space="preserve">    Trimmed mean: 39.02985074626866</w:t>
      </w:r>
    </w:p>
    <w:p w14:paraId="B8000000">
      <w:pPr>
        <w:ind/>
        <w:jc w:val="left"/>
      </w:pPr>
    </w:p>
    <w:p w14:paraId="B9000000">
      <w:pPr>
        <w:ind/>
        <w:jc w:val="left"/>
      </w:pPr>
      <w:r>
        <w:drawing>
          <wp:inline>
            <wp:extent cx="6264274" cy="4739346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64274" cy="47393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A000000">
      <w:pPr>
        <w:ind/>
        <w:jc w:val="left"/>
      </w:pPr>
    </w:p>
    <w:p w14:paraId="BB000000">
      <w:pPr>
        <w:ind/>
        <w:jc w:val="both"/>
        <w:rPr>
          <w:rFonts w:ascii="Times New Roman" w:hAnsi="Times New Roman"/>
          <w:sz w:val="27"/>
        </w:rPr>
      </w:pPr>
    </w:p>
    <w:p w14:paraId="BC000000">
      <w:pPr>
        <w:ind/>
        <w:jc w:val="both"/>
        <w:rPr>
          <w:rFonts w:ascii="Times New Roman" w:hAnsi="Times New Roman"/>
          <w:sz w:val="27"/>
        </w:rPr>
      </w:pPr>
    </w:p>
    <w:p w14:paraId="BD000000">
      <w:pPr>
        <w:ind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8.</w:t>
      </w:r>
      <w:r>
        <w:rPr>
          <w:rFonts w:ascii="Times New Roman" w:hAnsi="Times New Roman"/>
          <w:sz w:val="27"/>
        </w:rPr>
        <w:t xml:space="preserve"> На основе данной гистограммы можно наблюдать сильно скошенное распределение с большим количеством молодых людей. Низкая модальная возрастная группа 0-18 лет смещена вниз из-за выбросов, в то время как медиана и среднее значение смещены вверх из-за значительно меньшего количества людей старшего возраста. Возраста наиболее многочисленной группы сосредоточены в самой младшей категории, однако большинство людей находятся вблизи среднего возраста 39 лет.</w:t>
      </w:r>
    </w:p>
    <w:p w14:paraId="BE000000">
      <w:pPr>
        <w:ind/>
        <w:jc w:val="both"/>
        <w:rPr>
          <w:rFonts w:ascii="Times New Roman" w:hAnsi="Times New Roman"/>
          <w:sz w:val="27"/>
        </w:rPr>
      </w:pPr>
      <w:r>
        <w:br w:type="page"/>
      </w:r>
    </w:p>
    <w:p w14:paraId="BF000000">
      <w:pPr>
        <w:numPr>
          <w:numId w:val="4"/>
        </w:numPr>
        <w:ind/>
        <w:jc w:val="left"/>
      </w:pPr>
      <w:r>
        <w:rPr>
          <w:rFonts w:ascii="Times New Roman" w:hAnsi="Times New Roman"/>
          <w:b w:val="1"/>
          <w:sz w:val="30"/>
        </w:rPr>
        <w:t>Визуализировать пропорцию smokers и non-smokers.</w:t>
      </w:r>
    </w:p>
    <w:p w14:paraId="C0000000">
      <w:pPr>
        <w:ind/>
        <w:jc w:val="left"/>
      </w:pPr>
    </w:p>
    <w:p w14:paraId="C1000000">
      <w:r>
        <w:t xml:space="preserve">   smoker</w:t>
      </w:r>
    </w:p>
    <w:p w14:paraId="C2000000">
      <w:r>
        <w:t xml:space="preserve">   no     1064</w:t>
      </w:r>
    </w:p>
    <w:p w14:paraId="C3000000">
      <w:r>
        <w:t xml:space="preserve">   yes     274</w:t>
      </w:r>
    </w:p>
    <w:p w14:paraId="C4000000">
      <w:pPr>
        <w:ind/>
        <w:jc w:val="left"/>
      </w:pPr>
      <w:r>
        <w:t xml:space="preserve">   Name: count, dtype: int64</w:t>
      </w:r>
    </w:p>
    <w:p w14:paraId="C5000000">
      <w:pPr>
        <w:ind/>
        <w:jc w:val="left"/>
      </w:pPr>
    </w:p>
    <w:p w14:paraId="C6000000">
      <w:pPr>
        <w:ind/>
        <w:jc w:val="left"/>
      </w:pPr>
      <w:r>
        <w:drawing>
          <wp:inline>
            <wp:extent cx="5194300" cy="4940300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194300" cy="494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7000000">
      <w:pPr>
        <w:ind/>
        <w:jc w:val="left"/>
      </w:pPr>
    </w:p>
    <w:p w14:paraId="C8000000">
      <w:pPr>
        <w:spacing w:after="159"/>
        <w:ind/>
        <w:jc w:val="both"/>
      </w:pPr>
      <w:r>
        <w:rPr>
          <w:rFonts w:ascii="Times New Roman" w:hAnsi="Times New Roman"/>
          <w:b w:val="1"/>
          <w:sz w:val="27"/>
        </w:rPr>
        <w:t>Наблюдение 10.</w:t>
      </w:r>
      <w:r>
        <w:rPr>
          <w:rFonts w:ascii="Times New Roman" w:hAnsi="Times New Roman"/>
          <w:sz w:val="27"/>
        </w:rPr>
        <w:t xml:space="preserve"> Здесь мы можем увидеть что большинство людей в датасете – не курящие.</w:t>
      </w:r>
    </w:p>
    <w:p w14:paraId="C9000000">
      <w:pPr>
        <w:ind/>
        <w:jc w:val="left"/>
      </w:pPr>
      <w:r>
        <w:br w:type="page"/>
      </w:r>
    </w:p>
    <w:p w14:paraId="CA000000">
      <w:pPr>
        <w:numPr>
          <w:numId w:val="4"/>
        </w:numPr>
        <w:ind/>
        <w:jc w:val="left"/>
      </w:pPr>
      <w:r>
        <w:rPr>
          <w:rFonts w:ascii="Times New Roman" w:hAnsi="Times New Roman"/>
          <w:b w:val="1"/>
          <w:sz w:val="30"/>
        </w:rPr>
        <w:t>Визуализировать пропорцию children count в датасете.</w:t>
      </w:r>
    </w:p>
    <w:p w14:paraId="CB000000">
      <w:pPr>
        <w:ind/>
        <w:jc w:val="left"/>
      </w:pPr>
      <w:r>
        <w:drawing>
          <wp:inline>
            <wp:extent cx="6264274" cy="4783229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6264274" cy="47832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000000">
      <w:pPr>
        <w:ind/>
        <w:jc w:val="left"/>
        <w:rPr>
          <w:sz w:val="27"/>
        </w:rPr>
      </w:pPr>
    </w:p>
    <w:p w14:paraId="CD000000">
      <w:pPr>
        <w:ind/>
        <w:jc w:val="both"/>
        <w:rPr>
          <w:rFonts w:ascii="Times New Roman" w:hAnsi="Times New Roman"/>
        </w:rPr>
      </w:pPr>
      <w:r>
        <w:rPr>
          <w:rFonts w:ascii="Times New Roman" w:hAnsi="Times New Roman"/>
          <w:b w:val="1"/>
          <w:sz w:val="27"/>
        </w:rPr>
        <w:t>Наблюдение 11.</w:t>
      </w:r>
      <w:r>
        <w:rPr>
          <w:rFonts w:ascii="Times New Roman" w:hAnsi="Times New Roman"/>
          <w:sz w:val="27"/>
        </w:rPr>
        <w:t xml:space="preserve"> Этот график показывает что большинство людей в датасете имеют 0 или 1 ребенка.</w:t>
      </w:r>
    </w:p>
    <w:p w14:paraId="CE000000">
      <w:pPr>
        <w:ind/>
        <w:jc w:val="both"/>
      </w:pPr>
      <w:r>
        <w:br w:type="page"/>
      </w:r>
    </w:p>
    <w:p w14:paraId="CF000000">
      <w:pPr>
        <w:numPr>
          <w:numId w:val="4"/>
        </w:numPr>
        <w:ind/>
        <w:jc w:val="left"/>
      </w:pPr>
      <w:r>
        <w:rPr>
          <w:rFonts w:ascii="Times New Roman" w:hAnsi="Times New Roman"/>
          <w:b w:val="1"/>
          <w:sz w:val="30"/>
        </w:rPr>
        <w:t>Как между собой соотносятся smoker и charges?</w:t>
      </w:r>
    </w:p>
    <w:p w14:paraId="D0000000"/>
    <w:p w14:paraId="D1000000">
      <w:r>
        <w:t xml:space="preserve">    The difference between charges mean and smoker mean: 23615.963533676637</w:t>
      </w:r>
    </w:p>
    <w:p w14:paraId="D2000000">
      <w:pPr>
        <w:ind/>
        <w:jc w:val="left"/>
      </w:pPr>
      <w:r>
        <w:t xml:space="preserve">    The difference between charges median and smoker median: 27110.943150000006</w:t>
      </w:r>
    </w:p>
    <w:p w14:paraId="D3000000">
      <w:pPr>
        <w:ind/>
        <w:jc w:val="left"/>
      </w:pPr>
    </w:p>
    <w:p w14:paraId="D4000000">
      <w:pPr>
        <w:ind/>
        <w:jc w:val="left"/>
      </w:pPr>
      <w:r>
        <w:drawing>
          <wp:inline>
            <wp:extent cx="6264274" cy="4594510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6264274" cy="459451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>
            <wp:extent cx="6264274" cy="5020804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6264274" cy="5020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000000">
      <w:pPr>
        <w:ind/>
        <w:jc w:val="left"/>
      </w:pPr>
    </w:p>
    <w:p w14:paraId="D6000000">
      <w:pPr>
        <w:spacing w:after="159"/>
        <w:ind/>
        <w:jc w:val="both"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12.</w:t>
      </w:r>
      <w:r>
        <w:rPr>
          <w:rFonts w:ascii="Times New Roman" w:hAnsi="Times New Roman"/>
          <w:sz w:val="27"/>
        </w:rPr>
        <w:t xml:space="preserve"> Разница является слишком значительной, следовательно, мы можем предположить, что курение существенно увеличивает стоимость страховки.</w:t>
      </w:r>
    </w:p>
    <w:p w14:paraId="D7000000">
      <w:pPr>
        <w:spacing w:after="159"/>
        <w:ind/>
        <w:jc w:val="both"/>
      </w:pPr>
      <w:r>
        <w:rPr>
          <w:rFonts w:ascii="Times New Roman" w:hAnsi="Times New Roman"/>
          <w:b w:val="1"/>
          <w:sz w:val="27"/>
        </w:rPr>
        <w:t>Наблюдение 13.</w:t>
      </w:r>
      <w:r>
        <w:rPr>
          <w:rFonts w:ascii="Times New Roman" w:hAnsi="Times New Roman"/>
          <w:sz w:val="27"/>
        </w:rPr>
        <w:t xml:space="preserve"> Наши boxplot и гистограмма показывают, что между этими категориями отсутствует перекрытие, поэтому мы можем сделать вывод, что курение значительно увеличивает стоимость страховых выплат.</w:t>
      </w:r>
      <w:r>
        <w:br w:type="page"/>
      </w:r>
    </w:p>
    <w:p w14:paraId="D8000000">
      <w:pPr>
        <w:numPr>
          <w:numId w:val="4"/>
        </w:numPr>
        <w:ind/>
        <w:jc w:val="left"/>
        <w:rPr>
          <w:rFonts w:ascii="Times New Roman" w:hAnsi="Times New Roman"/>
          <w:b w:val="1"/>
          <w:sz w:val="30"/>
        </w:rPr>
      </w:pPr>
      <w:r>
        <w:rPr>
          <w:rFonts w:ascii="Times New Roman" w:hAnsi="Times New Roman"/>
          <w:b w:val="1"/>
          <w:sz w:val="30"/>
        </w:rPr>
        <w:t>Как между собой соотносятся sex и charges?</w:t>
      </w:r>
    </w:p>
    <w:p w14:paraId="D9000000">
      <w:pPr>
        <w:ind/>
        <w:jc w:val="left"/>
      </w:pPr>
    </w:p>
    <w:p w14:paraId="DA000000">
      <w:r>
        <w:t>The difference between male mean and female mean: 1387.1723338865468</w:t>
      </w:r>
    </w:p>
    <w:p w14:paraId="DB000000">
      <w:pPr>
        <w:ind/>
        <w:jc w:val="left"/>
      </w:pPr>
      <w:r>
        <w:t>The difference between male median and female median: -43.34674999999879</w:t>
      </w:r>
    </w:p>
    <w:p w14:paraId="DC000000">
      <w:pPr>
        <w:ind/>
        <w:jc w:val="left"/>
      </w:pPr>
    </w:p>
    <w:p w14:paraId="DD000000">
      <w:pPr>
        <w:ind/>
        <w:jc w:val="left"/>
      </w:pPr>
      <w:r>
        <w:drawing>
          <wp:inline>
            <wp:extent cx="6264274" cy="4594510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6264274" cy="45945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E000000">
      <w:pPr>
        <w:ind/>
        <w:jc w:val="left"/>
      </w:pPr>
      <w:r>
        <w:drawing>
          <wp:inline>
            <wp:extent cx="6264274" cy="5020804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6264274" cy="50208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F000000">
      <w:pPr>
        <w:ind/>
        <w:jc w:val="left"/>
      </w:pPr>
    </w:p>
    <w:p w14:paraId="E0000000">
      <w:pPr>
        <w:ind/>
        <w:jc w:val="left"/>
      </w:pPr>
      <w:r>
        <w:rPr>
          <w:rFonts w:ascii="Times New Roman" w:hAnsi="Times New Roman"/>
          <w:b w:val="1"/>
          <w:sz w:val="27"/>
        </w:rPr>
        <w:t>Наблюдение 14.</w:t>
      </w:r>
      <w:r>
        <w:rPr>
          <w:rFonts w:ascii="Times New Roman" w:hAnsi="Times New Roman"/>
          <w:sz w:val="27"/>
        </w:rPr>
        <w:t xml:space="preserve"> Разница в между средними значениями, медианами и графики показывают что между мужчинами и женщинами не существует явной разницы в стоимости страхования. </w:t>
      </w:r>
      <w:r>
        <w:br w:type="page"/>
      </w:r>
    </w:p>
    <w:p w14:paraId="E1000000">
      <w:pPr>
        <w:numPr>
          <w:numId w:val="4"/>
        </w:numPr>
        <w:ind/>
        <w:jc w:val="left"/>
        <w:rPr>
          <w:rFonts w:ascii="Times New Roman" w:hAnsi="Times New Roman"/>
          <w:b w:val="1"/>
          <w:sz w:val="30"/>
        </w:rPr>
      </w:pPr>
      <w:r>
        <w:rPr>
          <w:rFonts w:ascii="Times New Roman" w:hAnsi="Times New Roman"/>
          <w:b w:val="1"/>
          <w:sz w:val="30"/>
        </w:rPr>
        <w:t>Как между собой соотносятся region и сharges?</w:t>
      </w:r>
    </w:p>
    <w:p w14:paraId="E2000000">
      <w:pPr>
        <w:ind/>
        <w:jc w:val="left"/>
        <w:rPr>
          <w:rFonts w:ascii="Times New Roman" w:hAnsi="Times New Roman"/>
          <w:b w:val="1"/>
          <w:sz w:val="30"/>
        </w:rPr>
      </w:pPr>
    </w:p>
    <w:p w14:paraId="E3000000">
      <w:pPr>
        <w:ind/>
        <w:jc w:val="left"/>
        <w:rPr>
          <w:rFonts w:ascii="Times New Roman" w:hAnsi="Times New Roman"/>
          <w:b w:val="1"/>
          <w:sz w:val="27"/>
        </w:rPr>
      </w:pPr>
      <w:r>
        <w:rPr>
          <w:rFonts w:ascii="Times New Roman" w:hAnsi="Times New Roman"/>
          <w:b w:val="1"/>
          <w:sz w:val="27"/>
        </w:rPr>
        <w:drawing>
          <wp:inline>
            <wp:extent cx="6264274" cy="4594510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6264274" cy="45945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000000">
      <w:pPr>
        <w:spacing w:after="159" w:before="240"/>
        <w:ind w:firstLine="0" w:left="0" w:right="0"/>
        <w:jc w:val="left"/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7"/>
        </w:rPr>
        <w:drawing>
          <wp:inline>
            <wp:extent cx="6264274" cy="4098475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6264274" cy="4098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5000000">
      <w:pPr>
        <w:pStyle w:val="Style_2"/>
        <w:rPr>
          <w:rFonts w:ascii="Times New Roman" w:hAnsi="Times New Roman"/>
          <w:sz w:val="27"/>
        </w:rPr>
      </w:pPr>
      <w:r>
        <w:rPr>
          <w:rFonts w:ascii="Times New Roman" w:hAnsi="Times New Roman"/>
          <w:b w:val="1"/>
          <w:sz w:val="27"/>
        </w:rPr>
        <w:t>Наблюдение 15.</w:t>
      </w:r>
      <w:r>
        <w:rPr>
          <w:rFonts w:ascii="Times New Roman" w:hAnsi="Times New Roman"/>
          <w:sz w:val="27"/>
        </w:rPr>
        <w:t xml:space="preserve"> Из этих двух графиков видно, что разница между регионами не имеет значительного влияния на повышение стоимости страховых выплат.</w:t>
      </w:r>
    </w:p>
    <w:sectPr>
      <w:headerReference r:id="rId1" w:type="first"/>
      <w:footerReference r:id="rId2" w:type="default"/>
      <w:pgSz w:h="16838" w:orient="portrait" w:w="11906"/>
      <w:pgMar w:bottom="1134" w:left="1304" w:right="737" w:top="1134"/>
      <w:pgNumType w:fmt="decimal"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2000000">
    <w:pPr>
      <w:pStyle w:val="Style_1"/>
      <w:ind/>
      <w:jc w:val="center"/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layoutInCell="true" locked="false" relativeHeight="251658240" simplePos="false">
              <wp:simplePos x="0" y="0"/>
              <wp:positionH relativeFrom="insideMargin">
                <wp:align>center</wp:align>
              </wp:positionH>
              <wp:positionV relativeFrom="paragraph">
                <wp:posOffset>0</wp:posOffset>
              </wp:positionV>
              <wp:extent cx="0" cy="0"/>
              <wp:wrapSquare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00000">
                          <w:pPr>
                            <w:pStyle w:val="Style_2"/>
                            <w:rPr>
                              <w:color w:val="000000"/>
                              <w:spacing w:val="0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0"/>
                            </w:rPr>
                            <w:instrText>PAGE \* Arabic</w:instrText>
                          </w:r>
                          <w:r>
                            <w:rPr>
                              <w:color w:val="000000"/>
                              <w:spacing w:val="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 anchorCtr="true" bIns="45720" lIns="91440" rIns="91440" tIns="4572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3">
    <w:lvl w:ilvl="0">
      <w:start w:val="1"/>
      <w:numFmt w:val="decimal"/>
      <w:lvlText w:val="%1."/>
      <w:pPr>
        <w:ind w:hanging="360" w:left="360"/>
      </w:pPr>
    </w:lvl>
    <w:lvl w:ilvl="1">
      <w:start w:val="1"/>
      <w:numFmt w:val="decimal"/>
      <w:lvlText w:val="%1.%2."/>
      <w:pPr>
        <w:ind w:hanging="430" w:left="790"/>
      </w:pPr>
    </w:lvl>
    <w:lvl w:ilvl="2">
      <w:start w:val="1"/>
      <w:numFmt w:val="decimal"/>
      <w:lvlText w:val="%1.%2.%3."/>
      <w:pPr>
        <w:ind w:hanging="505" w:left="1225"/>
      </w:pPr>
    </w:lvl>
    <w:lvl w:ilvl="3">
      <w:start w:val="1"/>
      <w:numFmt w:val="decimal"/>
      <w:lvlText w:val="%1.%2.%3.%4."/>
      <w:pPr>
        <w:ind w:hanging="650" w:left="1730"/>
      </w:pPr>
    </w:lvl>
    <w:lvl w:ilvl="4">
      <w:start w:val="1"/>
      <w:numFmt w:val="decimal"/>
      <w:lvlText w:val="%1.%2.%3.%4.%5."/>
      <w:pPr>
        <w:ind w:hanging="790" w:left="2230"/>
      </w:pPr>
    </w:lvl>
    <w:lvl w:ilvl="5">
      <w:start w:val="1"/>
      <w:numFmt w:val="decimal"/>
      <w:lvlText w:val="%1.%2.%3.%4.%5.%6."/>
      <w:pPr>
        <w:ind w:hanging="935" w:left="2735"/>
      </w:pPr>
    </w:lvl>
    <w:lvl w:ilvl="6">
      <w:start w:val="1"/>
      <w:numFmt w:val="decimal"/>
      <w:lvlText w:val="%1.%2.%3.%4.%5.%6.%7."/>
      <w:pPr>
        <w:ind w:hanging="1080" w:left="3240"/>
      </w:pPr>
    </w:lvl>
    <w:lvl w:ilvl="7">
      <w:start w:val="1"/>
      <w:numFmt w:val="decimal"/>
      <w:lvlText w:val="%1.%2.%3.%4.%5.%6.%7.%8."/>
      <w:pPr>
        <w:ind w:hanging="1225" w:left="3745"/>
      </w:pPr>
    </w:lvl>
    <w:lvl w:ilvl="8">
      <w:start w:val="1"/>
      <w:numFmt w:val="decimal"/>
      <w:lvlText w:val="%1.%2.%3.%4.%5.%6.%7.%8.%9."/>
      <w:pPr>
        <w:ind w:hanging="1440" w:left="43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2_ch" w:type="character">
    <w:name w:val="Normal"/>
    <w:link w:val="Style_2"/>
    <w:rPr>
      <w:rFonts w:ascii="XO Thames" w:hAnsi="XO Thames"/>
      <w:sz w:val="28"/>
    </w:rPr>
  </w:style>
  <w:style w:styleId="Style_4" w:type="paragraph">
    <w:name w:val="toc 2"/>
    <w:next w:val="Style_2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7" w:type="paragraph">
    <w:name w:val="toc 4"/>
    <w:next w:val="Style_2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2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2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next w:val="Style_2"/>
    <w:link w:val="Style_11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12" w:type="paragraph">
    <w:name w:val="toc 3"/>
    <w:next w:val="Style_2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next w:val="Style_2"/>
    <w:link w:val="Style_13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3_ch" w:type="character">
    <w:name w:val="heading 5"/>
    <w:link w:val="Style_13"/>
    <w:rPr>
      <w:rFonts w:ascii="XO Thames" w:hAnsi="XO Thames"/>
      <w:b w:val="1"/>
      <w:sz w:val="22"/>
    </w:rPr>
  </w:style>
  <w:style w:styleId="Style_5" w:type="paragraph">
    <w:name w:val="heading 1"/>
    <w:next w:val="Style_2"/>
    <w:link w:val="Style_5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5_ch" w:type="character">
    <w:name w:val="heading 1"/>
    <w:link w:val="Style_5"/>
    <w:rPr>
      <w:rFonts w:ascii="XO Thames" w:hAnsi="XO Thames"/>
      <w:b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3" w:type="paragraph">
    <w:name w:val="toc 1"/>
    <w:next w:val="Style_2"/>
    <w:link w:val="Style_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_ch" w:type="character">
    <w:name w:val="toc 1"/>
    <w:link w:val="Style_3"/>
    <w:rPr>
      <w:rFonts w:ascii="XO Thames" w:hAnsi="XO Thames"/>
      <w:b w:val="1"/>
      <w:sz w:val="28"/>
    </w:rPr>
  </w:style>
  <w:style w:styleId="Style_1" w:type="paragraph">
    <w:name w:val="Header and Footer"/>
    <w:link w:val="Style_1_ch"/>
    <w:pPr>
      <w:spacing w:line="240" w:lineRule="auto"/>
      <w:ind/>
      <w:jc w:val="both"/>
    </w:pPr>
    <w:rPr>
      <w:rFonts w:ascii="XO Thames" w:hAnsi="XO Thames"/>
      <w:sz w:val="28"/>
    </w:rPr>
  </w:style>
  <w:style w:styleId="Style_1_ch" w:type="character">
    <w:name w:val="Header and Footer"/>
    <w:link w:val="Style_1"/>
    <w:rPr>
      <w:rFonts w:ascii="XO Thames" w:hAnsi="XO Thames"/>
      <w:sz w:val="28"/>
    </w:rPr>
  </w:style>
  <w:style w:styleId="Style_16" w:type="paragraph">
    <w:name w:val="toc 9"/>
    <w:next w:val="Style_2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2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2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2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2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2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6" w:type="paragraph">
    <w:name w:val="heading 2"/>
    <w:next w:val="Style_2"/>
    <w:link w:val="Style_6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6_ch" w:type="character">
    <w:name w:val="heading 2"/>
    <w:link w:val="Style_6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fontTable.xml" Type="http://schemas.openxmlformats.org/officeDocument/2006/relationships/fontTable"/>
  <Relationship Id="rId7" Target="media/5.png" Type="http://schemas.openxmlformats.org/officeDocument/2006/relationships/image"/>
  <Relationship Id="rId6" Target="media/4.png" Type="http://schemas.openxmlformats.org/officeDocument/2006/relationships/image"/>
  <Relationship Id="rId14" Target="media/12.png" Type="http://schemas.openxmlformats.org/officeDocument/2006/relationships/image"/>
  <Relationship Id="rId13" Target="media/11.png" Type="http://schemas.openxmlformats.org/officeDocument/2006/relationships/image"/>
  <Relationship Id="rId22" Target="theme/theme1.xml" Type="http://schemas.openxmlformats.org/officeDocument/2006/relationships/theme"/>
  <Relationship Id="rId18" Target="settings.xml" Type="http://schemas.openxmlformats.org/officeDocument/2006/relationships/settings"/>
  <Relationship Id="rId4" Target="media/2.png" Type="http://schemas.openxmlformats.org/officeDocument/2006/relationships/image"/>
  <Relationship Id="rId3" Target="media/1.png" Type="http://schemas.openxmlformats.org/officeDocument/2006/relationships/image"/>
  <Relationship Id="rId12" Target="media/10.png" Type="http://schemas.openxmlformats.org/officeDocument/2006/relationships/image"/>
  <Relationship Id="rId10" Target="media/8.png" Type="http://schemas.openxmlformats.org/officeDocument/2006/relationships/image"/>
  <Relationship Id="rId19" Target="styles.xml" Type="http://schemas.openxmlformats.org/officeDocument/2006/relationships/styles"/>
  <Relationship Id="rId5" Target="media/3.png" Type="http://schemas.openxmlformats.org/officeDocument/2006/relationships/image"/>
  <Relationship Id="rId11" Target="media/9.png" Type="http://schemas.openxmlformats.org/officeDocument/2006/relationships/image"/>
  <Relationship Id="rId8" Target="media/6.png" Type="http://schemas.openxmlformats.org/officeDocument/2006/relationships/image"/>
  <Relationship Id="rId16" Target="media/14.png" Type="http://schemas.openxmlformats.org/officeDocument/2006/relationships/image"/>
  <Relationship Id="rId20" Target="stylesWithEffects.xml" Type="http://schemas.microsoft.com/office/2007/relationships/stylesWithEffects"/>
  <Relationship Id="rId2" Target="footer2.xml" Type="http://schemas.openxmlformats.org/officeDocument/2006/relationships/footer"/>
  <Relationship Id="rId21" Target="webSettings.xml" Type="http://schemas.openxmlformats.org/officeDocument/2006/relationships/webSettings"/>
  <Relationship Id="rId9" Target="media/7.png" Type="http://schemas.openxmlformats.org/officeDocument/2006/relationships/image"/>
  <Relationship Id="rId15" Target="media/13.png" Type="http://schemas.openxmlformats.org/officeDocument/2006/relationships/image"/>
  <Relationship Id="rId23" Target="numbering.xml" Type="http://schemas.openxmlformats.org/officeDocument/2006/relationships/numbering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2025-11-22T13:51:07Z</dcterms:modified>
</cp:coreProperties>
</file>