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widowControl w:val="0"/>
        <w:spacing w:after="0" w:before="268" w:line="240" w:lineRule="auto"/>
        <w:ind w:firstLine="639" w:left="6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ФГБОУ ВО «</w:t>
      </w:r>
      <w:r>
        <w:rPr>
          <w:rFonts w:ascii="Times New Roman" w:hAnsi="Times New Roman"/>
        </w:rPr>
        <w:t>Нижневартовский</w:t>
      </w:r>
      <w:r>
        <w:rPr>
          <w:rFonts w:ascii="Times New Roman" w:hAnsi="Times New Roman"/>
        </w:rPr>
        <w:t xml:space="preserve"> государственный </w:t>
      </w:r>
      <w:r>
        <w:rPr>
          <w:rFonts w:ascii="Times New Roman" w:hAnsi="Times New Roman"/>
        </w:rPr>
        <w:t xml:space="preserve">университет»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</w:rPr>
        <w:t>информационных технологий и математики</w:t>
      </w:r>
    </w:p>
    <w:p w14:paraId="05000000">
      <w:pPr>
        <w:widowControl w:val="0"/>
        <w:spacing w:after="0" w:line="321" w:lineRule="exact"/>
        <w:ind w:firstLine="0" w:left="6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</w:rPr>
        <w:t>информатики и методики преподавания информатики</w:t>
      </w:r>
    </w:p>
    <w:p w14:paraId="06000000">
      <w:pPr>
        <w:widowControl w:val="0"/>
        <w:spacing w:after="0" w:line="240" w:lineRule="auto"/>
        <w:ind w:firstLine="0" w:left="0"/>
        <w:rPr>
          <w:rFonts w:ascii="Times New Roman" w:hAnsi="Times New Roman"/>
          <w:sz w:val="30"/>
        </w:rPr>
      </w:pPr>
    </w:p>
    <w:p w14:paraId="07000000">
      <w:pPr>
        <w:widowControl w:val="0"/>
        <w:spacing w:after="0" w:before="6" w:line="240" w:lineRule="auto"/>
        <w:ind w:firstLine="0" w:left="0"/>
        <w:rPr>
          <w:rFonts w:ascii="Times New Roman" w:hAnsi="Times New Roman"/>
          <w:sz w:val="29"/>
        </w:rPr>
      </w:pPr>
    </w:p>
    <w:p w14:paraId="08000000">
      <w:pPr>
        <w:widowControl w:val="0"/>
        <w:spacing w:after="0" w:line="322" w:lineRule="exact"/>
        <w:ind w:firstLine="0" w:left="46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Курсовой проект по дисциплине</w:t>
      </w:r>
    </w:p>
    <w:p w14:paraId="09000000">
      <w:pPr>
        <w:ind w:firstLine="0" w:left="4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 xml:space="preserve">Основы научно-исследовательской </w:t>
      </w:r>
      <w:r>
        <w:rPr>
          <w:rFonts w:ascii="Times New Roman" w:hAnsi="Times New Roman"/>
          <w:sz w:val="28"/>
        </w:rPr>
        <w:t>деятельности</w:t>
      </w:r>
      <w:r>
        <w:rPr>
          <w:rFonts w:ascii="Times New Roman" w:hAnsi="Times New Roman"/>
          <w:sz w:val="28"/>
        </w:rPr>
        <w:t>»</w:t>
      </w:r>
    </w:p>
    <w:p w14:paraId="0A000000">
      <w:pPr>
        <w:pStyle w:val="Style_2"/>
        <w:rPr>
          <w:rFonts w:ascii="Times New Roman" w:hAnsi="Times New Roman"/>
        </w:rPr>
      </w:pPr>
    </w:p>
    <w:p w14:paraId="0B000000">
      <w:pPr>
        <w:pStyle w:val="Style_2"/>
        <w:ind/>
        <w:jc w:val="left"/>
        <w:rPr>
          <w:rFonts w:ascii="Times New Roman" w:hAnsi="Times New Roman"/>
        </w:rPr>
      </w:pPr>
    </w:p>
    <w:p w14:paraId="0C000000">
      <w:pPr>
        <w:pStyle w:val="Style_2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АНАЛИЗ СТАТИСТИКИ СТРАХОВЫХ ВЫПЛАТ СРЕДСТВАМИ ЯЗЫКА PYTHON</w:t>
      </w:r>
    </w:p>
    <w:p w14:paraId="0D000000">
      <w:pPr>
        <w:pStyle w:val="Style_2"/>
        <w:ind/>
        <w:jc w:val="center"/>
        <w:rPr>
          <w:rFonts w:ascii="Times New Roman" w:hAnsi="Times New Roman"/>
        </w:rPr>
      </w:pPr>
    </w:p>
    <w:p w14:paraId="0E000000">
      <w:pPr>
        <w:pStyle w:val="Style_2"/>
        <w:ind/>
        <w:jc w:val="center"/>
        <w:rPr>
          <w:rFonts w:ascii="Times New Roman" w:hAnsi="Times New Roman"/>
        </w:rPr>
      </w:pPr>
    </w:p>
    <w:p w14:paraId="0F000000">
      <w:pPr>
        <w:pStyle w:val="Style_2"/>
        <w:ind/>
        <w:jc w:val="left"/>
        <w:rPr>
          <w:rFonts w:ascii="Times New Roman" w:hAnsi="Times New Roman"/>
        </w:rPr>
      </w:pPr>
    </w:p>
    <w:p w14:paraId="10000000">
      <w:pPr>
        <w:pStyle w:val="Style_2"/>
        <w:ind w:firstLine="0" w:left="5669"/>
        <w:jc w:val="left"/>
        <w:rPr>
          <w:rFonts w:ascii="Times New Roman" w:hAnsi="Times New Roman"/>
        </w:rPr>
      </w:pPr>
    </w:p>
    <w:p w14:paraId="11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Исполнитель: </w:t>
      </w:r>
    </w:p>
    <w:p w14:paraId="12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группы 3353 </w:t>
      </w:r>
    </w:p>
    <w:p w14:paraId="13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Горидько Иван Александрович</w:t>
      </w:r>
    </w:p>
    <w:p w14:paraId="14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5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кандидат технических наук,</w:t>
      </w:r>
    </w:p>
    <w:p w14:paraId="16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доцент кафедры информатики и методики</w:t>
      </w:r>
    </w:p>
    <w:p w14:paraId="17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преподавания информатики</w:t>
      </w:r>
    </w:p>
    <w:p w14:paraId="18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Катермина Татьяна Сергеевна </w:t>
      </w:r>
    </w:p>
    <w:p w14:paraId="19000000">
      <w:pPr>
        <w:pStyle w:val="Style_2"/>
        <w:ind/>
        <w:jc w:val="center"/>
      </w:pPr>
    </w:p>
    <w:p w14:paraId="1A000000">
      <w:pPr>
        <w:pStyle w:val="Style_2"/>
        <w:ind/>
        <w:jc w:val="left"/>
      </w:pPr>
    </w:p>
    <w:p w14:paraId="1B000000">
      <w:pPr>
        <w:pStyle w:val="Style_2"/>
        <w:ind/>
        <w:jc w:val="left"/>
      </w:pPr>
      <w:r>
        <w:t>___________________________ __________</w:t>
      </w:r>
    </w:p>
    <w:p w14:paraId="1C000000">
      <w:pPr>
        <w:pStyle w:val="Style_2"/>
        <w:ind w:firstLine="0" w:left="439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(подпись)</w:t>
      </w:r>
    </w:p>
    <w:p w14:paraId="1D000000">
      <w:pPr>
        <w:pStyle w:val="Style_2"/>
        <w:ind w:firstLine="0" w:left="4394"/>
        <w:jc w:val="left"/>
        <w:rPr>
          <w:rFonts w:ascii="Times New Roman" w:hAnsi="Times New Roman"/>
          <w:sz w:val="20"/>
        </w:rPr>
      </w:pPr>
    </w:p>
    <w:p w14:paraId="1E000000">
      <w:pPr>
        <w:pStyle w:val="Style_2"/>
        <w:ind w:firstLine="0" w:left="-567"/>
        <w:jc w:val="left"/>
        <w:rPr>
          <w:rFonts w:ascii="Times New Roman" w:hAnsi="Times New Roman"/>
          <w:sz w:val="20"/>
        </w:rPr>
      </w:pPr>
    </w:p>
    <w:p w14:paraId="1F000000">
      <w:pPr>
        <w:pStyle w:val="Style_2"/>
        <w:ind w:firstLine="0" w:left="-567"/>
        <w:jc w:val="left"/>
        <w:rPr>
          <w:rFonts w:ascii="Times New Roman" w:hAnsi="Times New Roman"/>
          <w:sz w:val="20"/>
        </w:rPr>
      </w:pPr>
    </w:p>
    <w:p w14:paraId="20000000">
      <w:pPr>
        <w:pStyle w:val="Style_2"/>
        <w:ind w:firstLine="0" w:left="-567"/>
        <w:jc w:val="left"/>
        <w:rPr>
          <w:rFonts w:ascii="Times New Roman" w:hAnsi="Times New Roman"/>
          <w:sz w:val="20"/>
        </w:rPr>
      </w:pPr>
    </w:p>
    <w:p w14:paraId="21000000">
      <w:pPr>
        <w:pStyle w:val="Style_2"/>
        <w:ind w:firstLine="0" w:left="-567"/>
        <w:jc w:val="left"/>
        <w:rPr>
          <w:rFonts w:ascii="Times New Roman" w:hAnsi="Times New Roman"/>
          <w:sz w:val="20"/>
        </w:rPr>
      </w:pPr>
    </w:p>
    <w:p w14:paraId="22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3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4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5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6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7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8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9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  <w:r>
        <w:t>Нижневартовск,</w:t>
      </w:r>
      <w:r>
        <w:t xml:space="preserve"> </w:t>
      </w:r>
      <w:r>
        <w:t>20</w:t>
      </w:r>
      <w:r>
        <w:t>25</w:t>
      </w:r>
      <w:r>
        <w:br w:type="page"/>
      </w:r>
    </w:p>
    <w:p w14:paraId="2A000000">
      <w:pPr>
        <w:pStyle w:val="Style_2"/>
        <w:ind w:firstLine="0" w:left="-567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32"/>
        </w:rPr>
        <w:t>Оглавление:</w:t>
      </w:r>
    </w:p>
    <w:p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"__RefHeading___4"</w:instrText>
      </w:r>
      <w:r>
        <w:fldChar w:fldCharType="separate"/>
      </w:r>
      <w:r>
        <w:t>Глава 1. ТЕОРЕТИЧЕСКИЕ ОСНОВЫ ПРОГНОЗИРОВАНИЯ СТРАХОВЫХ ВЫПЛАТ СРЕДСТВАМИ МАШИННОГО ОБУЧЕНИЯ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C000000">
      <w:pPr>
        <w:pStyle w:val="Style_4"/>
        <w:tabs>
          <w:tab w:leader="dot" w:pos="986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1.1. Коротко про саму задачу предсказания страховых выплат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000000">
      <w:pPr>
        <w:pStyle w:val="Style_4"/>
        <w:tabs>
          <w:tab w:leader="dot" w:pos="986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1.2. Уточненная постановка задачи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000000">
      <w:pPr>
        <w:pStyle w:val="Style_4"/>
        <w:tabs>
          <w:tab w:leader="dot" w:pos="986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1.3. Описать библиотеки, язык и среду разработки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000000">
      <w:pPr>
        <w:pStyle w:val="Style_4"/>
        <w:tabs>
          <w:tab w:leader="dot" w:pos="986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1.4. Первичный разведочный анализ данных (EDA)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31000000">
      <w:pPr>
        <w:spacing w:after="159" w:line="360" w:lineRule="auto"/>
        <w:ind w:firstLine="709" w:left="0"/>
        <w:jc w:val="center"/>
      </w:pPr>
      <w:r>
        <w:rPr>
          <w:rFonts w:ascii="Times New Roman" w:hAnsi="Times New Roman"/>
          <w:b w:val="1"/>
        </w:rPr>
        <w:br w:type="page"/>
      </w:r>
      <w:r>
        <w:rPr>
          <w:rFonts w:ascii="Times New Roman" w:hAnsi="Times New Roman"/>
          <w:b w:val="1"/>
        </w:rPr>
        <w:t xml:space="preserve">Анализ статистики страховых </w:t>
      </w:r>
      <w:r>
        <w:rPr>
          <w:rFonts w:ascii="Times New Roman" w:hAnsi="Times New Roman"/>
          <w:b w:val="1"/>
        </w:rPr>
        <w:t>выплат</w:t>
      </w:r>
      <w:r>
        <w:rPr>
          <w:rFonts w:ascii="Times New Roman" w:hAnsi="Times New Roman"/>
          <w:b w:val="1"/>
        </w:rPr>
        <w:t xml:space="preserve"> средствами языка Python</w:t>
      </w:r>
    </w:p>
    <w:p w14:paraId="32000000">
      <w:pPr>
        <w:pStyle w:val="Style_2"/>
        <w:spacing w:after="159" w:line="360" w:lineRule="auto"/>
        <w:ind w:firstLine="0" w:left="-56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</w:t>
      </w:r>
    </w:p>
    <w:p w14:paraId="33000000">
      <w:pPr>
        <w:pStyle w:val="Style_2"/>
        <w:spacing w:after="159" w:line="360" w:lineRule="auto"/>
        <w:ind w:firstLine="1276" w:left="0"/>
        <w:jc w:val="both"/>
        <w:rPr>
          <w:rFonts w:ascii="Times New Roman" w:hAnsi="Times New Roman"/>
          <w:b w:val="0"/>
          <w:color w:val="000000"/>
          <w:sz w:val="27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7"/>
        </w:rPr>
        <w:t>Актуальность исследований.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В современном мире страхование является неотъемлемой частью финансовой стабильности как отдельных людей, так и целых предприятий. Страховые выплаты составляют значительную долю в расходах компаний, и их точное прогнозирование напрямую влияет на прибыльность и устойчивость страхового бизнеса. Машинное обучение и интеллектуальный анализ данных стали мощными инструментами для решения этой задачи, позволяя выявлять сложные, неочевидные для человека взаимосвязи в исторических данных. Язык Python с его богатой экосистемой библиотек, таких как Scikit-learn, Pandas и NumPy, является одной из самых популярных и эффективных сред для реализации подобных аналитических систем. Прогнозирование страховых выплат — это сложная и многогранная задача. Для ее успешного решения необходимо разбить процесс на ключевые этапы: от сбора и предобработки данных до построения, валидации и интерпретации прогнозных моделей.</w:t>
      </w:r>
      <w:r>
        <w:rPr>
          <w:rFonts w:ascii="Times New Roman" w:hAnsi="Times New Roman"/>
          <w:b w:val="0"/>
          <w:color w:val="000000"/>
          <w:sz w:val="27"/>
        </w:rPr>
        <w:t xml:space="preserve"> </w:t>
      </w:r>
    </w:p>
    <w:p w14:paraId="34000000">
      <w:pPr>
        <w:pStyle w:val="Style_2"/>
        <w:spacing w:after="159" w:line="360" w:lineRule="auto"/>
        <w:ind w:firstLine="709" w:left="0"/>
        <w:jc w:val="left"/>
        <w:rPr>
          <w:rFonts w:ascii="Times New Roman" w:hAnsi="Times New Roman"/>
          <w:b w:val="0"/>
          <w:color w:val="000000"/>
          <w:sz w:val="27"/>
        </w:rPr>
      </w:pPr>
      <w:r>
        <w:rPr>
          <w:rFonts w:ascii="Times New Roman" w:hAnsi="Times New Roman"/>
          <w:b w:val="1"/>
          <w:sz w:val="28"/>
        </w:rPr>
        <w:t xml:space="preserve">Объект исследования: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Формирование размеров страховых выплат на основе статистических данных</w:t>
      </w:r>
      <w:r>
        <w:rPr>
          <w:rFonts w:ascii="Times New Roman" w:hAnsi="Times New Roman"/>
          <w:b w:val="0"/>
          <w:color w:val="000000"/>
          <w:sz w:val="27"/>
        </w:rPr>
        <w:t>.</w:t>
      </w:r>
    </w:p>
    <w:p w14:paraId="35000000">
      <w:pPr>
        <w:pStyle w:val="Style_2"/>
        <w:spacing w:after="159" w:line="360" w:lineRule="auto"/>
        <w:ind w:firstLine="709" w:left="0"/>
        <w:jc w:val="lef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Процесс исследования: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Формирование размеров страховых выплат средствами интеллектуального анализа данных.</w:t>
      </w:r>
    </w:p>
    <w:p w14:paraId="36000000">
      <w:pPr>
        <w:pStyle w:val="Style_2"/>
        <w:spacing w:after="159" w:line="360" w:lineRule="auto"/>
        <w:ind w:firstLine="709" w:left="0"/>
        <w:jc w:val="lef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Цель исследования: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Реализовать предсказания страховых выплат средствами языка python.</w:t>
      </w:r>
    </w:p>
    <w:p w14:paraId="37000000">
      <w:pPr>
        <w:pStyle w:val="Style_2"/>
        <w:spacing w:after="159" w:line="360" w:lineRule="auto"/>
        <w:ind w:firstLine="709" w:left="0"/>
        <w:jc w:val="lef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Задачи исследования: </w:t>
      </w:r>
    </w:p>
    <w:p w14:paraId="38000000">
      <w:pPr>
        <w:numPr>
          <w:numId w:val="1"/>
        </w:numPr>
        <w:spacing w:after="159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Провести анализ и предобработку предоставленного набора данных о страховых случаях.</w:t>
      </w:r>
    </w:p>
    <w:p w14:paraId="39000000">
      <w:pPr>
        <w:numPr>
          <w:numId w:val="1"/>
        </w:numPr>
        <w:spacing w:after="159"/>
        <w:ind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Реализовать и обучить модель линейной регрессии для прогнозирования размера страховых выплат.</w:t>
      </w:r>
    </w:p>
    <w:p w14:paraId="3A000000">
      <w:pPr>
        <w:numPr>
          <w:numId w:val="1"/>
        </w:numPr>
        <w:spacing w:after="159"/>
        <w:ind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Реализовать и обучить модель регрессии на основе алгоритма "Случайный лес".</w:t>
      </w:r>
    </w:p>
    <w:p w14:paraId="3B000000">
      <w:pPr>
        <w:numPr>
          <w:numId w:val="1"/>
        </w:numPr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Провести сравнительный анализ эффективности построенных моделей и выбрать оптимальную. </w:t>
      </w:r>
    </w:p>
    <w:p w14:paraId="3C000000">
      <w:bookmarkStart w:id="1" w:name="__RefHeading___4"/>
      <w:bookmarkEnd w:id="1"/>
      <w:pPr>
        <w:pStyle w:val="Style_5"/>
        <w:spacing w:after="159"/>
        <w:ind/>
        <w:jc w:val="left"/>
      </w:pPr>
      <w:r>
        <w:br w:type="page"/>
      </w:r>
      <w:r>
        <w:rPr>
          <w:sz w:val="32"/>
        </w:rPr>
        <w:t>Глава 1.</w:t>
      </w:r>
      <w:r>
        <w:rPr>
          <w:sz w:val="32"/>
        </w:rP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32"/>
        </w:rPr>
        <w:t>ТЕОРЕТИЧЕСКИЕ ОСНОВЫ ПРОГНОЗИРОВАНИЯ СТРАХОВЫХ ВЫПЛАТ СРЕДСТВАМИ МАШИННОГО ОБУЧЕНИЯ</w:t>
      </w:r>
    </w:p>
    <w:p w14:paraId="3D000000">
      <w:bookmarkStart w:id="2" w:name="__RefHeading___8"/>
      <w:bookmarkEnd w:id="2"/>
      <w:pPr>
        <w:pStyle w:val="Style_6"/>
      </w:pPr>
      <w:r>
        <w:t>1.1. Коротко про саму задачу предсказания страховых выплат</w:t>
      </w:r>
    </w:p>
    <w:p w14:paraId="3E000000">
      <w:pPr>
        <w:spacing w:after="159" w:before="24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 xml:space="preserve">Задача предсказания страховых выплат относится к классу задач прогнозной аналитики и машинного обучения с учителем, а именно — к задачам регрессии. </w:t>
      </w:r>
    </w:p>
    <w:p w14:paraId="3F000000">
      <w:pPr>
        <w:spacing w:after="159" w:before="24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 xml:space="preserve">Её основная цель заключается в построении математической модели, способной на основе исторических данных о клиентах (таких как возраст, индекс массы тела, вредные привычки, регион проживания и другие демографические признаки) прогнозировать непрерывную числовую величину — ожидаемый размер страховой выплаты. </w:t>
      </w:r>
    </w:p>
    <w:p w14:paraId="40000000">
      <w:pPr>
        <w:spacing w:after="159" w:before="24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Точное прогнозирование позволяет страховым компаниям оптимизировать тарифную политику, более эффективно управлять рисками и финансовыми резервами, а также выявлять скрытые закономерности, влияющие на стоимость страховых случаев.</w:t>
      </w:r>
    </w:p>
    <w:p w14:paraId="41000000">
      <w:bookmarkStart w:id="3" w:name="__RefHeading___7"/>
      <w:bookmarkEnd w:id="3"/>
      <w:pPr>
        <w:pStyle w:val="Style_6"/>
      </w:pPr>
      <w:r>
        <w:t>1.2. Уточненная постановка задачи</w:t>
      </w:r>
    </w:p>
    <w:p w14:paraId="42000000">
      <w:pPr>
        <w:spacing w:after="159" w:before="24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В рамках данной работы решается задача множественной линейной регрессии, где целевой переменной (зависимой переменной) является столбец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charges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(размер страховых выплат), а признаками (независимыми переменными) — все остальные столбцы в наборе данных: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age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sex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bmi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children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smoker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region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.</w:t>
      </w:r>
    </w:p>
    <w:p w14:paraId="43000000">
      <w:pPr>
        <w:spacing w:after="159" w:before="24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Категориальные признаки (такие как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sex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smoker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region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, а также производный признак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weight_category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 xml:space="preserve">) перед обучением модели подвергаются процедуре One-Hot Encoding. </w:t>
      </w:r>
    </w:p>
    <w:p w14:paraId="44000000">
      <w:pPr>
        <w:spacing w:after="159" w:before="240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Процесс решения задачи включает в себя следующие этапы: первичный разведочный анализ данных (EDA), предобработка данных (обработка пропусков, кодирование категориальных переменных, нормализация числовых признаков), разделение данных на обучающую и тестовую выборки, обучение и валидация моделей, а также сравнительный анализ их эффективности по метрикам MSE, MAE и R².</w:t>
      </w:r>
    </w:p>
    <w:p w14:paraId="45000000">
      <w:bookmarkStart w:id="4" w:name="__RefHeading___6"/>
      <w:bookmarkEnd w:id="4"/>
      <w:pPr>
        <w:pStyle w:val="Style_6"/>
      </w:pPr>
      <w:r>
        <w:t>1.3. Описать библиотеки, язык и среду разработки</w:t>
      </w:r>
    </w:p>
    <w:p w14:paraId="46000000">
      <w:pPr>
        <w:spacing w:after="159" w:before="240"/>
        <w:ind w:firstLine="0" w:left="0" w:right="0"/>
        <w:jc w:val="both"/>
        <w:rPr>
          <w:rFonts w:ascii="quote-cjk-patch" w:hAnsi="quote-cjk-patch"/>
          <w:b w:val="0"/>
          <w:i w:val="0"/>
          <w:caps w:val="0"/>
          <w:color w:val="F9FAFB"/>
          <w:spacing w:val="0"/>
          <w:sz w:val="24"/>
          <w:shd w:fill="151517" w:val="clear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 xml:space="preserve">Работа выполнена на языке программирования Python версии 3.x, который был выбран благодаря его широкой распространённости в задачах анализа данных и машинного обучения, а также наличию мощного стека специализированных библиотек. </w:t>
      </w:r>
    </w:p>
    <w:p w14:paraId="47000000">
      <w:pPr>
        <w:spacing w:after="159" w:before="240"/>
        <w:ind w:firstLine="0" w:left="0" w:right="0"/>
        <w:jc w:val="both"/>
        <w:rPr>
          <w:rFonts w:ascii="quote-cjk-patch" w:hAnsi="quote-cjk-patch"/>
          <w:b w:val="0"/>
          <w:i w:val="0"/>
          <w:caps w:val="0"/>
          <w:color w:val="F9FAFB"/>
          <w:spacing w:val="0"/>
          <w:sz w:val="24"/>
          <w:shd w:fill="151517" w:val="clear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 xml:space="preserve">В качестве основной среды разработки использовалась Jupyter Notebook, что позволяет интерактивно выполнять код, визуализировать данные и документировать ход исследования. </w:t>
      </w:r>
    </w:p>
    <w:p w14:paraId="48000000">
      <w:pPr>
        <w:spacing w:after="159" w:before="240"/>
        <w:ind w:firstLine="0" w:left="0" w:right="0"/>
        <w:jc w:val="both"/>
        <w:rPr>
          <w:rFonts w:ascii="quote-cjk-patch" w:hAnsi="quote-cjk-patch"/>
          <w:b w:val="0"/>
          <w:i w:val="0"/>
          <w:caps w:val="0"/>
          <w:color w:val="F9FAFB"/>
          <w:spacing w:val="0"/>
          <w:sz w:val="24"/>
          <w:shd w:fill="151517" w:val="clear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Для решения поставленных задач были применены следующие библиотеки: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Pandas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— для манипуляций с данными и их загрузки;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NumPy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— для выполнения численных операций;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Matplotlib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Seaborn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 xml:space="preserve">— для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визуализации данных и построения графиков;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Scikit-learn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 xml:space="preserve">— для предобработки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данных, реализации алгоритмов машинного обучения (Linear Regression, Random Forest), их обучения и оценки качества.</w:t>
      </w:r>
    </w:p>
    <w:p w14:paraId="49000000">
      <w:bookmarkStart w:id="5" w:name="__RefHeading___5"/>
      <w:bookmarkEnd w:id="5"/>
      <w:pPr>
        <w:pStyle w:val="Style_6"/>
      </w:pPr>
      <w:r>
        <w:t xml:space="preserve">1.4. </w:t>
      </w:r>
      <w:r>
        <w:t>Первичный разведочный анализ данных (EDA)</w:t>
      </w:r>
    </w:p>
    <w:p w14:paraId="4A000000">
      <w:pPr>
        <w:spacing w:after="159" w:before="240"/>
        <w:ind w:firstLine="0" w:left="0" w:right="0"/>
        <w:jc w:val="left"/>
        <w:rPr>
          <w:rFonts w:ascii="quote-cjk-patch" w:hAnsi="quote-cjk-patch"/>
          <w:b w:val="0"/>
          <w:i w:val="0"/>
          <w:caps w:val="0"/>
          <w:color w:val="F9FAFB"/>
          <w:spacing w:val="0"/>
          <w:sz w:val="24"/>
          <w:shd w:fill="151517" w:val="clear"/>
        </w:rPr>
      </w:pPr>
    </w:p>
    <w:p w14:paraId="4B000000">
      <w:pPr>
        <w:spacing w:after="159" w:before="240"/>
        <w:ind w:firstLine="0" w:left="0" w:right="0"/>
        <w:jc w:val="left"/>
        <w:rPr>
          <w:rFonts w:ascii="quote-cjk-patch" w:hAnsi="quote-cjk-patch"/>
          <w:b w:val="0"/>
          <w:i w:val="0"/>
          <w:caps w:val="0"/>
          <w:color w:val="F9FAFB"/>
          <w:spacing w:val="0"/>
          <w:sz w:val="24"/>
          <w:shd w:fill="151517" w:val="clear"/>
        </w:rPr>
      </w:pPr>
    </w:p>
    <w:p w14:paraId="4C000000">
      <w:pPr>
        <w:spacing w:after="159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</w:pPr>
    </w:p>
    <w:p w14:paraId="4D000000">
      <w:pPr>
        <w:pStyle w:val="Style_2"/>
      </w:pPr>
      <w:r>
        <w:br/>
      </w:r>
    </w:p>
    <w:p w14:paraId="4E000000">
      <w:pPr>
        <w:pStyle w:val="Style_5"/>
      </w:pPr>
      <w:r>
        <w:br w:type="page"/>
      </w:r>
    </w:p>
    <w:p w14:paraId="4F000000">
      <w:pPr>
        <w:spacing w:after="159" w:before="0"/>
        <w:ind w:right="0"/>
        <w:jc w:val="left"/>
        <w:rPr>
          <w:rFonts w:ascii="quote-cjk-patch" w:hAnsi="quote-cjk-patch"/>
          <w:b w:val="0"/>
          <w:i w:val="0"/>
          <w:caps w:val="0"/>
          <w:color w:val="000000"/>
          <w:spacing w:val="0"/>
          <w:sz w:val="24"/>
        </w:rPr>
      </w:pPr>
    </w:p>
    <w:p w14:paraId="50000000">
      <w:pPr>
        <w:spacing w:after="0" w:before="0"/>
        <w:ind w:firstLine="0" w:left="0" w:right="0"/>
        <w:jc w:val="left"/>
        <w:rPr>
          <w:rFonts w:ascii="quote-cjk-patch" w:hAnsi="quote-cjk-patch"/>
          <w:b w:val="0"/>
          <w:i w:val="0"/>
          <w:caps w:val="0"/>
          <w:color w:val="F9FAFB"/>
          <w:spacing w:val="0"/>
          <w:sz w:val="24"/>
          <w:shd w:fill="151517" w:val="clear"/>
        </w:rPr>
      </w:pPr>
    </w:p>
    <w:p w14:paraId="51000000">
      <w:pPr>
        <w:spacing w:after="120" w:before="120"/>
        <w:ind w:firstLine="0" w:left="120" w:right="120"/>
      </w:pPr>
      <w:r>
        <w:br/>
      </w:r>
    </w:p>
    <w:p w14:paraId="52000000">
      <w:pPr>
        <w:pStyle w:val="Style_2"/>
        <w:spacing w:after="159" w:line="360" w:lineRule="auto"/>
        <w:ind w:firstLine="709" w:left="0"/>
        <w:jc w:val="left"/>
        <w:rPr>
          <w:rFonts w:ascii="Times New Roman" w:hAnsi="Times New Roman"/>
          <w:b w:val="1"/>
          <w:color w:val="000000"/>
          <w:sz w:val="28"/>
        </w:rPr>
      </w:pPr>
    </w:p>
    <w:sectPr>
      <w:headerReference r:id="rId2" w:type="first"/>
      <w:footerReference r:id="rId1" w:type="default"/>
      <w:pgSz w:h="16838" w:orient="portrait" w:w="11906"/>
      <w:pgMar w:bottom="1134" w:left="1304" w:right="737" w:top="1134"/>
      <w:pgNumType w:fmt="decimal"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mc:AlternateContent>
        <mc:Choice Requires="wps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layoutInCell="true" locked="false" relativeHeight="251658240" simplePos="false">
              <wp:simplePos x="0" y="0"/>
              <wp:positionH relativeFrom="insideMargin">
                <wp:align>center</wp:align>
              </wp:positionH>
              <wp:positionV relativeFrom="paragraph">
                <wp:posOffset>0</wp:posOffset>
              </wp:positionV>
              <wp:extent cx="0" cy="0"/>
              <wp:wrapSquare wrapText="bothSides"/>
              <wp:docPr hidden="false" id="1" name="Picture 1"/>
              <a:graphic>
                <a:graphicData uri="http://schemas.microsoft.com/office/word/2010/wordprocessingShape">
                  <wps:wsp>
                    <wps:cNvSpPr txBox="true"/>
                    <wps:spPr>
                      <a:xfrm flipH="false" flipV="false" rot="0">
                        <a:off x="0" y="0"/>
                        <a:ext cx="0" cy="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000000">
                          <w:pPr>
                            <w:pStyle w:val="Style_2"/>
                            <w:rPr>
                              <w:color w:val="000000"/>
                              <w:spacing w:val="0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0"/>
                            </w:rPr>
                            <w:instrText>PAGE \* Arabic</w:instrText>
                          </w:r>
                          <w:r>
                            <w:rPr>
                              <w:color w:val="000000"/>
                              <w:spacing w:val="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 anchorCtr="true" bIns="45720" lIns="91440" rIns="91440" tIns="45720" vert="horz"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7" w:type="paragraph">
    <w:name w:val="toc 4"/>
    <w:next w:val="Style_2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2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2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Endnote"/>
    <w:link w:val="Style_10_ch"/>
    <w:pPr>
      <w:ind w:firstLine="851" w:left="0"/>
      <w:jc w:val="both"/>
    </w:pPr>
    <w:rPr>
      <w:rFonts w:ascii="XO Thames" w:hAnsi="XO Thames"/>
      <w:sz w:val="22"/>
    </w:rPr>
  </w:style>
  <w:style w:styleId="Style_10_ch" w:type="character">
    <w:name w:val="Endnote"/>
    <w:link w:val="Style_10"/>
    <w:rPr>
      <w:rFonts w:ascii="XO Thames" w:hAnsi="XO Thames"/>
      <w:sz w:val="22"/>
    </w:rPr>
  </w:style>
  <w:style w:styleId="Style_11" w:type="paragraph">
    <w:name w:val="heading 3"/>
    <w:next w:val="Style_2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toc 3"/>
    <w:next w:val="Style_2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2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5" w:type="paragraph">
    <w:name w:val="heading 1"/>
    <w:next w:val="Style_2"/>
    <w:link w:val="Style_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5_ch" w:type="character">
    <w:name w:val="heading 1"/>
    <w:link w:val="Style_5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3" w:type="paragraph">
    <w:name w:val="toc 1"/>
    <w:next w:val="Style_2"/>
    <w:link w:val="Style_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_ch" w:type="character">
    <w:name w:val="toc 1"/>
    <w:link w:val="Style_3"/>
    <w:rPr>
      <w:rFonts w:ascii="XO Thames" w:hAnsi="XO Thames"/>
      <w:b w:val="1"/>
      <w:sz w:val="28"/>
    </w:rPr>
  </w:style>
  <w:style w:styleId="Style_1" w:type="paragraph">
    <w:name w:val="Header and Footer"/>
    <w:link w:val="Style_1_ch"/>
    <w:pPr>
      <w:spacing w:line="240" w:lineRule="auto"/>
      <w:ind/>
      <w:jc w:val="both"/>
    </w:pPr>
    <w:rPr>
      <w:rFonts w:ascii="XO Thames" w:hAnsi="XO Thames"/>
      <w:sz w:val="28"/>
    </w:rPr>
  </w:style>
  <w:style w:styleId="Style_1_ch" w:type="character">
    <w:name w:val="Header and Footer"/>
    <w:link w:val="Style_1"/>
    <w:rPr>
      <w:rFonts w:ascii="XO Thames" w:hAnsi="XO Thames"/>
      <w:sz w:val="28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6" w:type="paragraph">
    <w:name w:val="heading 2"/>
    <w:next w:val="Style_2"/>
    <w:link w:val="Style_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6_ch" w:type="character">
    <w:name w:val="heading 2"/>
    <w:link w:val="Style_6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footer1.xml" Type="http://schemas.openxmlformats.org/officeDocument/2006/relationships/footer"/>
  <Relationship Id="rId2" Target="header2.xml" Type="http://schemas.openxmlformats.org/officeDocument/2006/relationships/header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2025-10-27T12:05:44Z</dcterms:modified>
</cp:coreProperties>
</file>