
<file path=[Content_Types].xml><?xml version="1.0" encoding="utf-8"?>
<Types xmlns="http://schemas.openxmlformats.org/package/2006/content-types">
  <Default ContentType="image/png" Extension="png"/>
  <Default ContentType="application/xml" Extension="xml"/>
  <Default ContentType="application/vnd.openxmlformats-package.relationships+xml" Extension="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footer+xml" PartName="/word/footer2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 ?>
<Relationships xmlns="http://schemas.openxmlformats.org/package/2006/relationships">
  <Relationship Id="rId1" Target="word/document.xml" Type="http://schemas.openxmlformats.org/officeDocument/2006/relationships/officeDocument"/>
  <Relationship Id="rId2" Target="docProps/app.xml" Type="http://schemas.openxmlformats.org/officeDocument/2006/relationships/extended-properties"/>
  <Relationship Id="rId3" Target="docProps/core.xml" Type="http://schemas.openxmlformats.org/package/2006/relationships/metadata/core-properties"/>
</Relationships>

</file>

<file path=word/document.xml><?xml version="1.0" encoding="utf-8"?>
<w:documen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body>
    <w:p w14:paraId="04000000">
      <w:pPr>
        <w:widowControl w:val="0"/>
        <w:spacing w:after="0" w:before="268" w:line="240" w:lineRule="auto"/>
        <w:ind w:firstLine="639" w:left="69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Министерство науки и высшего образования РФ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t>ФГБОУ ВО «</w:t>
      </w:r>
      <w:r>
        <w:rPr>
          <w:rFonts w:ascii="Times New Roman" w:hAnsi="Times New Roman"/>
        </w:rPr>
        <w:t>Нижневартовский</w:t>
      </w:r>
      <w:r>
        <w:rPr>
          <w:rFonts w:ascii="Times New Roman" w:hAnsi="Times New Roman"/>
        </w:rPr>
        <w:t xml:space="preserve"> государственный </w:t>
      </w:r>
      <w:r>
        <w:rPr>
          <w:rFonts w:ascii="Times New Roman" w:hAnsi="Times New Roman"/>
        </w:rPr>
        <w:t xml:space="preserve">университет» 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t xml:space="preserve">Факультет </w:t>
      </w:r>
      <w:r>
        <w:rPr>
          <w:rFonts w:ascii="Times New Roman" w:hAnsi="Times New Roman"/>
        </w:rPr>
        <w:t>информационных технологий и математики</w:t>
      </w:r>
    </w:p>
    <w:p w14:paraId="05000000">
      <w:pPr>
        <w:widowControl w:val="0"/>
        <w:spacing w:after="0" w:line="321" w:lineRule="exact"/>
        <w:ind w:firstLine="0" w:left="62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Кафедра </w:t>
      </w:r>
      <w:r>
        <w:rPr>
          <w:rFonts w:ascii="Times New Roman" w:hAnsi="Times New Roman"/>
        </w:rPr>
        <w:t>информатики и методики преподавания информатики</w:t>
      </w:r>
    </w:p>
    <w:p w14:paraId="06000000">
      <w:pPr>
        <w:widowControl w:val="0"/>
        <w:spacing w:after="0" w:line="240" w:lineRule="auto"/>
        <w:ind w:firstLine="0" w:left="0"/>
        <w:rPr>
          <w:rFonts w:ascii="Times New Roman" w:hAnsi="Times New Roman"/>
          <w:sz w:val="30"/>
        </w:rPr>
      </w:pPr>
    </w:p>
    <w:p w14:paraId="07000000">
      <w:pPr>
        <w:widowControl w:val="0"/>
        <w:spacing w:after="0" w:before="6" w:line="240" w:lineRule="auto"/>
        <w:ind w:firstLine="0" w:left="0"/>
        <w:rPr>
          <w:rFonts w:ascii="Times New Roman" w:hAnsi="Times New Roman"/>
          <w:sz w:val="29"/>
        </w:rPr>
      </w:pPr>
    </w:p>
    <w:p w14:paraId="08000000">
      <w:pPr>
        <w:widowControl w:val="0"/>
        <w:spacing w:after="0" w:line="322" w:lineRule="exact"/>
        <w:ind w:firstLine="0" w:left="462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Курсовой проект по дисциплине</w:t>
      </w:r>
    </w:p>
    <w:p w14:paraId="09000000">
      <w:pPr>
        <w:ind w:firstLine="0" w:left="463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«</w:t>
      </w:r>
      <w:r>
        <w:rPr>
          <w:rFonts w:ascii="Times New Roman" w:hAnsi="Times New Roman"/>
          <w:sz w:val="28"/>
        </w:rPr>
        <w:t xml:space="preserve">Основы научно-исследовательской </w:t>
      </w:r>
      <w:r>
        <w:rPr>
          <w:rFonts w:ascii="Times New Roman" w:hAnsi="Times New Roman"/>
          <w:sz w:val="28"/>
        </w:rPr>
        <w:t>деятельности</w:t>
      </w:r>
      <w:r>
        <w:rPr>
          <w:rFonts w:ascii="Times New Roman" w:hAnsi="Times New Roman"/>
          <w:sz w:val="28"/>
        </w:rPr>
        <w:t>»</w:t>
      </w:r>
    </w:p>
    <w:p w14:paraId="0A000000">
      <w:pPr>
        <w:pStyle w:val="Style_2"/>
        <w:rPr>
          <w:rFonts w:ascii="Times New Roman" w:hAnsi="Times New Roman"/>
        </w:rPr>
      </w:pPr>
    </w:p>
    <w:p w14:paraId="0B000000">
      <w:pPr>
        <w:pStyle w:val="Style_2"/>
        <w:ind/>
        <w:jc w:val="left"/>
        <w:rPr>
          <w:rFonts w:ascii="Times New Roman" w:hAnsi="Times New Roman"/>
        </w:rPr>
      </w:pPr>
    </w:p>
    <w:p w14:paraId="0C000000">
      <w:pPr>
        <w:pStyle w:val="Style_2"/>
        <w:ind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АНАЛИЗ СТАТИСТИКИ СТРАХОВЫХ ВЫПЛАТ СРЕДСТВАМИ ЯЗЫКА PYTHON</w:t>
      </w:r>
    </w:p>
    <w:p w14:paraId="0D000000">
      <w:pPr>
        <w:pStyle w:val="Style_2"/>
        <w:ind/>
        <w:jc w:val="center"/>
        <w:rPr>
          <w:rFonts w:ascii="Times New Roman" w:hAnsi="Times New Roman"/>
        </w:rPr>
      </w:pPr>
    </w:p>
    <w:p w14:paraId="0E000000">
      <w:pPr>
        <w:pStyle w:val="Style_2"/>
        <w:ind/>
        <w:jc w:val="center"/>
        <w:rPr>
          <w:rFonts w:ascii="Times New Roman" w:hAnsi="Times New Roman"/>
        </w:rPr>
      </w:pPr>
    </w:p>
    <w:p w14:paraId="0F000000">
      <w:pPr>
        <w:pStyle w:val="Style_2"/>
        <w:ind/>
        <w:jc w:val="left"/>
        <w:rPr>
          <w:rFonts w:ascii="Times New Roman" w:hAnsi="Times New Roman"/>
        </w:rPr>
      </w:pPr>
    </w:p>
    <w:p w14:paraId="10000000">
      <w:pPr>
        <w:pStyle w:val="Style_2"/>
        <w:ind w:firstLine="0" w:left="5669"/>
        <w:jc w:val="left"/>
        <w:rPr>
          <w:rFonts w:ascii="Times New Roman" w:hAnsi="Times New Roman"/>
        </w:rPr>
      </w:pPr>
    </w:p>
    <w:p w14:paraId="11000000">
      <w:pPr>
        <w:pStyle w:val="Style_2"/>
        <w:ind w:firstLine="0" w:left="566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Исполнитель: </w:t>
      </w:r>
    </w:p>
    <w:p w14:paraId="12000000">
      <w:pPr>
        <w:pStyle w:val="Style_2"/>
        <w:ind w:firstLine="0" w:left="566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студент группы 3353 </w:t>
      </w:r>
    </w:p>
    <w:p w14:paraId="13000000">
      <w:pPr>
        <w:pStyle w:val="Style_2"/>
        <w:ind w:firstLine="0" w:left="566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Горидько Иван Александрович</w:t>
      </w:r>
    </w:p>
    <w:p w14:paraId="14000000">
      <w:pPr>
        <w:pStyle w:val="Style_2"/>
        <w:ind w:firstLine="0" w:left="566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Руководитель:</w:t>
      </w:r>
    </w:p>
    <w:p w14:paraId="15000000">
      <w:pPr>
        <w:pStyle w:val="Style_2"/>
        <w:ind w:firstLine="0" w:left="566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кандидат технических наук,</w:t>
      </w:r>
    </w:p>
    <w:p w14:paraId="16000000">
      <w:pPr>
        <w:pStyle w:val="Style_2"/>
        <w:ind w:firstLine="0" w:left="566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доцент кафедры информатики и методики</w:t>
      </w:r>
    </w:p>
    <w:p w14:paraId="17000000">
      <w:pPr>
        <w:pStyle w:val="Style_2"/>
        <w:ind w:firstLine="0" w:left="566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преподавания информатики</w:t>
      </w:r>
    </w:p>
    <w:p w14:paraId="18000000">
      <w:pPr>
        <w:pStyle w:val="Style_2"/>
        <w:ind w:firstLine="0" w:left="566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Катермина Татьяна Сергеевна </w:t>
      </w:r>
    </w:p>
    <w:p w14:paraId="19000000">
      <w:pPr>
        <w:pStyle w:val="Style_2"/>
        <w:ind/>
        <w:jc w:val="center"/>
      </w:pPr>
    </w:p>
    <w:p w14:paraId="1A000000">
      <w:pPr>
        <w:pStyle w:val="Style_2"/>
        <w:ind/>
        <w:jc w:val="left"/>
      </w:pPr>
    </w:p>
    <w:p w14:paraId="1B000000">
      <w:pPr>
        <w:pStyle w:val="Style_2"/>
        <w:ind/>
        <w:jc w:val="left"/>
      </w:pPr>
      <w:r>
        <w:t>___________________________ __________</w:t>
      </w:r>
    </w:p>
    <w:p w14:paraId="1C000000">
      <w:pPr>
        <w:pStyle w:val="Style_2"/>
        <w:ind w:firstLine="0" w:left="4394"/>
        <w:jc w:val="left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(подпись)</w:t>
      </w:r>
    </w:p>
    <w:p w14:paraId="1D000000">
      <w:pPr>
        <w:pStyle w:val="Style_2"/>
        <w:ind w:firstLine="0" w:left="4394"/>
        <w:jc w:val="left"/>
        <w:rPr>
          <w:rFonts w:ascii="Times New Roman" w:hAnsi="Times New Roman"/>
          <w:sz w:val="20"/>
        </w:rPr>
      </w:pPr>
    </w:p>
    <w:p w14:paraId="1E000000">
      <w:pPr>
        <w:pStyle w:val="Style_2"/>
        <w:ind w:firstLine="0" w:left="-567"/>
        <w:jc w:val="left"/>
        <w:rPr>
          <w:rFonts w:ascii="Times New Roman" w:hAnsi="Times New Roman"/>
          <w:sz w:val="20"/>
        </w:rPr>
      </w:pPr>
    </w:p>
    <w:p w14:paraId="1F000000">
      <w:pPr>
        <w:pStyle w:val="Style_2"/>
        <w:ind w:firstLine="0" w:left="-567"/>
        <w:jc w:val="left"/>
        <w:rPr>
          <w:rFonts w:ascii="Times New Roman" w:hAnsi="Times New Roman"/>
          <w:sz w:val="20"/>
        </w:rPr>
      </w:pPr>
    </w:p>
    <w:p w14:paraId="20000000">
      <w:pPr>
        <w:pStyle w:val="Style_2"/>
        <w:ind w:firstLine="0" w:left="-567"/>
        <w:jc w:val="left"/>
        <w:rPr>
          <w:rFonts w:ascii="Times New Roman" w:hAnsi="Times New Roman"/>
          <w:sz w:val="20"/>
        </w:rPr>
      </w:pPr>
    </w:p>
    <w:p w14:paraId="21000000">
      <w:pPr>
        <w:pStyle w:val="Style_2"/>
        <w:ind w:firstLine="0" w:left="-567"/>
        <w:jc w:val="left"/>
        <w:rPr>
          <w:rFonts w:ascii="Times New Roman" w:hAnsi="Times New Roman"/>
          <w:sz w:val="20"/>
        </w:rPr>
      </w:pPr>
    </w:p>
    <w:p w14:paraId="22000000">
      <w:pPr>
        <w:pStyle w:val="Style_2"/>
        <w:ind w:firstLine="0" w:left="-567"/>
        <w:jc w:val="center"/>
        <w:rPr>
          <w:rFonts w:ascii="Times New Roman" w:hAnsi="Times New Roman"/>
          <w:sz w:val="20"/>
        </w:rPr>
      </w:pPr>
    </w:p>
    <w:p w14:paraId="23000000">
      <w:pPr>
        <w:pStyle w:val="Style_2"/>
        <w:ind w:firstLine="0" w:left="-567"/>
        <w:jc w:val="center"/>
        <w:rPr>
          <w:rFonts w:ascii="Times New Roman" w:hAnsi="Times New Roman"/>
          <w:sz w:val="20"/>
        </w:rPr>
      </w:pPr>
    </w:p>
    <w:p w14:paraId="24000000">
      <w:pPr>
        <w:pStyle w:val="Style_2"/>
        <w:ind w:firstLine="0" w:left="-567"/>
        <w:jc w:val="center"/>
        <w:rPr>
          <w:rFonts w:ascii="Times New Roman" w:hAnsi="Times New Roman"/>
          <w:sz w:val="20"/>
        </w:rPr>
      </w:pPr>
    </w:p>
    <w:p w14:paraId="25000000">
      <w:pPr>
        <w:pStyle w:val="Style_2"/>
        <w:ind w:firstLine="0" w:left="-567"/>
        <w:jc w:val="center"/>
        <w:rPr>
          <w:rFonts w:ascii="Times New Roman" w:hAnsi="Times New Roman"/>
          <w:sz w:val="20"/>
        </w:rPr>
      </w:pPr>
    </w:p>
    <w:p w14:paraId="26000000">
      <w:pPr>
        <w:pStyle w:val="Style_2"/>
        <w:ind w:firstLine="0" w:left="-567"/>
        <w:jc w:val="center"/>
        <w:rPr>
          <w:rFonts w:ascii="Times New Roman" w:hAnsi="Times New Roman"/>
          <w:sz w:val="20"/>
        </w:rPr>
      </w:pPr>
    </w:p>
    <w:p w14:paraId="27000000">
      <w:pPr>
        <w:pStyle w:val="Style_2"/>
        <w:ind w:firstLine="0" w:left="-567"/>
        <w:jc w:val="center"/>
        <w:rPr>
          <w:rFonts w:ascii="Times New Roman" w:hAnsi="Times New Roman"/>
          <w:sz w:val="20"/>
        </w:rPr>
      </w:pPr>
    </w:p>
    <w:p w14:paraId="28000000">
      <w:pPr>
        <w:pStyle w:val="Style_2"/>
        <w:ind w:firstLine="0" w:left="-567"/>
        <w:jc w:val="center"/>
        <w:rPr>
          <w:rFonts w:ascii="Times New Roman" w:hAnsi="Times New Roman"/>
          <w:sz w:val="20"/>
        </w:rPr>
      </w:pPr>
    </w:p>
    <w:p w14:paraId="29000000">
      <w:pPr>
        <w:pStyle w:val="Style_2"/>
        <w:ind w:firstLine="0" w:left="-567"/>
        <w:jc w:val="center"/>
        <w:rPr>
          <w:rFonts w:ascii="Times New Roman" w:hAnsi="Times New Roman"/>
          <w:sz w:val="20"/>
        </w:rPr>
      </w:pPr>
      <w:r>
        <w:t>Нижневартовск,</w:t>
      </w:r>
      <w:r>
        <w:t xml:space="preserve"> </w:t>
      </w:r>
      <w:r>
        <w:t>20</w:t>
      </w:r>
      <w:r>
        <w:t>25</w:t>
      </w:r>
      <w:r>
        <w:br w:type="page"/>
      </w:r>
    </w:p>
    <w:p w14:paraId="2A000000">
      <w:pPr>
        <w:pStyle w:val="Style_2"/>
        <w:ind w:firstLine="0" w:left="-567"/>
        <w:jc w:val="left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32"/>
        </w:rPr>
        <w:t>Оглавление:</w:t>
      </w:r>
    </w:p>
    <w:p>
      <w:pPr>
        <w:pStyle w:val="Style_3"/>
        <w:tabs>
          <w:tab w:leader="dot" w:pos="9865" w:val="right"/>
        </w:tabs>
        <w:ind/>
      </w:pPr>
      <w:r>
        <w:fldChar w:fldCharType="begin"/>
      </w:r>
      <w:r>
        <w:instrText xml:space="preserve">TOC \h \z \u \o "1-3"</w:instrText>
      </w:r>
      <w:r>
        <w:fldChar w:fldCharType="separate"/>
      </w:r>
      <w:r>
        <w:fldChar w:fldCharType="begin"/>
      </w:r>
      <w:r>
        <w:instrText>HYPERLINK \l "__RefHeading___1"</w:instrText>
      </w:r>
      <w:r>
        <w:fldChar w:fldCharType="separate"/>
      </w:r>
      <w:r>
        <w:t>Глава 1. ТЕОРЕТИЧЕСКИЕ ОСНОВЫ ПРОГНОЗИРОВАНИЯ СТРАХОВЫХ ВЫПЛАТ СРЕДСТВАМИ МАШИННОГО ОБУЧЕНИЯ</w:t>
      </w:r>
      <w:r>
        <w:tab/>
      </w:r>
      <w:r>
        <w:fldChar w:fldCharType="begin"/>
      </w:r>
      <w:r>
        <w:instrText>PAGEREF __RefHeading___1 \h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2C000000">
      <w:pPr>
        <w:pStyle w:val="Style_4"/>
        <w:tabs>
          <w:tab w:leader="dot" w:pos="9865" w:val="right"/>
        </w:tabs>
        <w:ind/>
      </w:pPr>
      <w:r>
        <w:fldChar w:fldCharType="begin"/>
      </w:r>
      <w:r>
        <w:instrText>HYPERLINK \l "__RefHeading___2"</w:instrText>
      </w:r>
      <w:r>
        <w:fldChar w:fldCharType="separate"/>
      </w:r>
      <w:r>
        <w:t>1.1. Задача предсказания страховых выплат</w:t>
      </w:r>
      <w:r>
        <w:tab/>
      </w:r>
      <w:r>
        <w:fldChar w:fldCharType="begin"/>
      </w:r>
      <w:r>
        <w:instrText>PAGEREF __RefHeading___2 \h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2D000000">
      <w:pPr>
        <w:pStyle w:val="Style_4"/>
        <w:tabs>
          <w:tab w:leader="dot" w:pos="9865" w:val="right"/>
        </w:tabs>
        <w:ind/>
      </w:pPr>
      <w:r>
        <w:fldChar w:fldCharType="begin"/>
      </w:r>
      <w:r>
        <w:instrText>HYPERLINK \l "__RefHeading___3"</w:instrText>
      </w:r>
      <w:r>
        <w:fldChar w:fldCharType="separate"/>
      </w:r>
      <w:r>
        <w:t>1.2. Уточненная постановка задачи</w:t>
      </w:r>
      <w:r>
        <w:tab/>
      </w:r>
      <w:r>
        <w:fldChar w:fldCharType="begin"/>
      </w:r>
      <w:r>
        <w:instrText>PAGEREF __RefHeading___3 \h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2E000000">
      <w:pPr>
        <w:pStyle w:val="Style_4"/>
        <w:tabs>
          <w:tab w:leader="dot" w:pos="9865" w:val="right"/>
        </w:tabs>
        <w:ind/>
      </w:pPr>
      <w:r>
        <w:fldChar w:fldCharType="begin"/>
      </w:r>
      <w:r>
        <w:instrText>HYPERLINK \l "__RefHeading___4"</w:instrText>
      </w:r>
      <w:r>
        <w:fldChar w:fldCharType="separate"/>
      </w:r>
      <w:r>
        <w:t>1.3. Библиотеки, язык и среда разработки</w:t>
      </w:r>
      <w:r>
        <w:tab/>
      </w:r>
      <w:r>
        <w:fldChar w:fldCharType="begin"/>
      </w:r>
      <w:r>
        <w:instrText>PAGEREF __RefHeading___4 \h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2F000000">
      <w:pPr>
        <w:pStyle w:val="Style_4"/>
        <w:tabs>
          <w:tab w:leader="dot" w:pos="9865" w:val="right"/>
        </w:tabs>
        <w:ind/>
      </w:pPr>
      <w:r>
        <w:fldChar w:fldCharType="begin"/>
      </w:r>
      <w:r>
        <w:instrText>HYPERLINK \l "__RefHeading___5"</w:instrText>
      </w:r>
      <w:r>
        <w:fldChar w:fldCharType="separate"/>
      </w:r>
      <w:r>
        <w:t>1.4. Первичный разведочный анализ данных (EDA). Часть 1.</w:t>
      </w:r>
      <w:r>
        <w:tab/>
      </w:r>
      <w:r>
        <w:fldChar w:fldCharType="begin"/>
      </w:r>
      <w:r>
        <w:instrText>PAGEREF __RefHeading___5 \h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30000000">
      <w:pPr>
        <w:pStyle w:val="Style_4"/>
        <w:tabs>
          <w:tab w:leader="dot" w:pos="9865" w:val="right"/>
        </w:tabs>
        <w:ind/>
      </w:pPr>
      <w:r>
        <w:fldChar w:fldCharType="begin"/>
      </w:r>
      <w:r>
        <w:instrText>HYPERLINK \l "__RefHeading___6"</w:instrText>
      </w:r>
      <w:r>
        <w:fldChar w:fldCharType="separate"/>
      </w:r>
      <w:r>
        <w:t>1.5. Первичный разведочный анализ данных (EDA). Часть 2.</w:t>
      </w:r>
      <w:r>
        <w:tab/>
      </w:r>
      <w:r>
        <w:fldChar w:fldCharType="begin"/>
      </w:r>
      <w:r>
        <w:instrText>PAGEREF __RefHeading___6 \h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r>
        <w:fldChar w:fldCharType="end"/>
      </w:r>
    </w:p>
    <w:p w14:paraId="32000000">
      <w:pPr>
        <w:spacing w:after="159" w:line="360" w:lineRule="auto"/>
        <w:ind w:firstLine="709" w:left="0"/>
        <w:jc w:val="center"/>
      </w:pPr>
      <w:r>
        <w:rPr>
          <w:rFonts w:ascii="Times New Roman" w:hAnsi="Times New Roman"/>
          <w:b w:val="1"/>
        </w:rPr>
        <w:br w:type="page"/>
      </w:r>
      <w:r>
        <w:rPr>
          <w:rFonts w:ascii="Times New Roman" w:hAnsi="Times New Roman"/>
          <w:b w:val="1"/>
        </w:rPr>
        <w:t xml:space="preserve">Анализ статистики страховых </w:t>
      </w:r>
      <w:r>
        <w:rPr>
          <w:rFonts w:ascii="Times New Roman" w:hAnsi="Times New Roman"/>
          <w:b w:val="1"/>
        </w:rPr>
        <w:t>выплат</w:t>
      </w:r>
      <w:r>
        <w:rPr>
          <w:rFonts w:ascii="Times New Roman" w:hAnsi="Times New Roman"/>
          <w:b w:val="1"/>
        </w:rPr>
        <w:t xml:space="preserve"> средствами языка Python</w:t>
      </w:r>
    </w:p>
    <w:p w14:paraId="33000000">
      <w:pPr>
        <w:pStyle w:val="Style_2"/>
        <w:spacing w:after="159" w:line="360" w:lineRule="auto"/>
        <w:ind w:firstLine="0" w:left="-567"/>
        <w:jc w:val="center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Введение</w:t>
      </w:r>
    </w:p>
    <w:p w14:paraId="34000000">
      <w:pPr>
        <w:pStyle w:val="Style_2"/>
        <w:spacing w:after="159" w:line="360" w:lineRule="auto"/>
        <w:ind w:firstLine="1276" w:left="0"/>
        <w:jc w:val="both"/>
        <w:rPr>
          <w:rFonts w:ascii="Times New Roman" w:hAnsi="Times New Roman"/>
          <w:b w:val="0"/>
          <w:color w:val="000000"/>
          <w:sz w:val="27"/>
        </w:rPr>
      </w:pPr>
      <w:r>
        <w:rPr>
          <w:rFonts w:ascii="Times New Roman" w:hAnsi="Times New Roman"/>
          <w:b w:val="1"/>
          <w:i w:val="0"/>
          <w:caps w:val="0"/>
          <w:color w:val="000000"/>
          <w:spacing w:val="0"/>
          <w:sz w:val="27"/>
        </w:rPr>
        <w:t>Актуальность исследований.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В современном мире страхование является неотъемлемой частью финансовой стабильности как отдельных людей, так и целых предприятий. Страховые выплаты составляют значительную долю в расходах компаний, и их точное прогнозирование напрямую влияет на прибыльность и устойчивость страхового бизнеса. Машинное обучение и интеллектуальный анализ данных стали мощными инструментами для решения этой задачи, позволяя выявлять сложные, неочевидные для человека взаимосвязи в исторических данных. Язык Python с его богатой экосистемой библиотек, таких как Scikit-learn, Pandas и NumPy, является одной из самых популярных и эффективных сред для реализации подобных аналитических систем. Прогнозирование страховых выплат — это сложная и многогранная задача. Для ее успешного решения необходимо разбить процесс на ключевые этапы: от сбора и предобработки данных до построения, валидации и интерпретации прогнозных моделей.</w:t>
      </w:r>
      <w:r>
        <w:rPr>
          <w:rFonts w:ascii="Times New Roman" w:hAnsi="Times New Roman"/>
          <w:b w:val="0"/>
          <w:color w:val="000000"/>
          <w:sz w:val="27"/>
        </w:rPr>
        <w:t xml:space="preserve"> </w:t>
      </w:r>
    </w:p>
    <w:p w14:paraId="35000000">
      <w:pPr>
        <w:pStyle w:val="Style_2"/>
        <w:spacing w:after="159" w:line="360" w:lineRule="auto"/>
        <w:ind w:firstLine="709" w:left="0"/>
        <w:jc w:val="left"/>
        <w:rPr>
          <w:rFonts w:ascii="Times New Roman" w:hAnsi="Times New Roman"/>
          <w:b w:val="0"/>
          <w:color w:val="000000"/>
          <w:sz w:val="27"/>
        </w:rPr>
      </w:pPr>
      <w:r>
        <w:rPr>
          <w:rFonts w:ascii="Times New Roman" w:hAnsi="Times New Roman"/>
          <w:b w:val="1"/>
          <w:sz w:val="28"/>
        </w:rPr>
        <w:t xml:space="preserve">Объект исследования: 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Формирование размеров страховых выплат на основе статистических данных</w:t>
      </w:r>
      <w:r>
        <w:rPr>
          <w:rFonts w:ascii="Times New Roman" w:hAnsi="Times New Roman"/>
          <w:b w:val="0"/>
          <w:color w:val="000000"/>
          <w:sz w:val="27"/>
        </w:rPr>
        <w:t>.</w:t>
      </w:r>
    </w:p>
    <w:p w14:paraId="36000000">
      <w:pPr>
        <w:pStyle w:val="Style_2"/>
        <w:spacing w:after="159" w:line="360" w:lineRule="auto"/>
        <w:ind w:firstLine="709" w:left="0"/>
        <w:jc w:val="left"/>
        <w:rPr>
          <w:rFonts w:ascii="Times New Roman" w:hAnsi="Times New Roman"/>
          <w:b w:val="1"/>
          <w:color w:val="000000"/>
          <w:sz w:val="28"/>
        </w:rPr>
      </w:pPr>
      <w:r>
        <w:rPr>
          <w:rFonts w:ascii="Times New Roman" w:hAnsi="Times New Roman"/>
          <w:b w:val="1"/>
          <w:color w:val="000000"/>
          <w:sz w:val="28"/>
        </w:rPr>
        <w:t xml:space="preserve">Процесс исследования: 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Формирование размеров страховых выплат средствами интеллектуального анализа данных.</w:t>
      </w:r>
    </w:p>
    <w:p w14:paraId="37000000">
      <w:pPr>
        <w:pStyle w:val="Style_2"/>
        <w:spacing w:after="159" w:line="360" w:lineRule="auto"/>
        <w:ind w:firstLine="709" w:left="0"/>
        <w:jc w:val="left"/>
        <w:rPr>
          <w:rFonts w:ascii="Times New Roman" w:hAnsi="Times New Roman"/>
          <w:b w:val="1"/>
          <w:color w:val="000000"/>
          <w:sz w:val="28"/>
        </w:rPr>
      </w:pPr>
      <w:r>
        <w:rPr>
          <w:rFonts w:ascii="Times New Roman" w:hAnsi="Times New Roman"/>
          <w:b w:val="1"/>
          <w:color w:val="000000"/>
          <w:sz w:val="28"/>
        </w:rPr>
        <w:t xml:space="preserve">Цель исследования: 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Реализовать предсказания страховых выплат средствами языка python.</w:t>
      </w:r>
    </w:p>
    <w:p w14:paraId="38000000">
      <w:pPr>
        <w:pStyle w:val="Style_2"/>
        <w:spacing w:after="159" w:line="360" w:lineRule="auto"/>
        <w:ind w:firstLine="709" w:left="0"/>
        <w:jc w:val="left"/>
        <w:rPr>
          <w:rFonts w:ascii="Times New Roman" w:hAnsi="Times New Roman"/>
          <w:b w:val="1"/>
          <w:color w:val="000000"/>
          <w:sz w:val="28"/>
        </w:rPr>
      </w:pPr>
      <w:r>
        <w:rPr>
          <w:rFonts w:ascii="Times New Roman" w:hAnsi="Times New Roman"/>
          <w:b w:val="1"/>
          <w:color w:val="000000"/>
          <w:sz w:val="28"/>
        </w:rPr>
        <w:t xml:space="preserve">Задачи исследования: </w:t>
      </w:r>
    </w:p>
    <w:p w14:paraId="39000000">
      <w:pPr>
        <w:numPr>
          <w:numId w:val="1"/>
        </w:numPr>
        <w:spacing w:after="159" w:before="0"/>
        <w:ind w:right="0"/>
        <w:jc w:val="left"/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</w:pP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Провести анализ и предобработку предоставленного набора данных о страховых случаях.</w:t>
      </w:r>
    </w:p>
    <w:p w14:paraId="3A000000">
      <w:pPr>
        <w:numPr>
          <w:numId w:val="1"/>
        </w:numPr>
        <w:spacing w:after="159"/>
        <w:ind/>
        <w:rPr>
          <w:rFonts w:ascii="Times New Roman" w:hAnsi="Times New Roman"/>
          <w:sz w:val="27"/>
        </w:rPr>
      </w:pPr>
      <w:r>
        <w:rPr>
          <w:rFonts w:ascii="Times New Roman" w:hAnsi="Times New Roman"/>
          <w:sz w:val="27"/>
        </w:rPr>
        <w:t>Реализовать и обучить модель линейной регрессии для прогнозирования размера страховых выплат.</w:t>
      </w:r>
    </w:p>
    <w:p w14:paraId="3B000000">
      <w:pPr>
        <w:numPr>
          <w:numId w:val="1"/>
        </w:numPr>
        <w:spacing w:after="159"/>
        <w:ind/>
        <w:rPr>
          <w:rFonts w:ascii="Times New Roman" w:hAnsi="Times New Roman"/>
          <w:sz w:val="27"/>
        </w:rPr>
      </w:pPr>
      <w:r>
        <w:rPr>
          <w:rFonts w:ascii="Times New Roman" w:hAnsi="Times New Roman"/>
          <w:sz w:val="27"/>
        </w:rPr>
        <w:t>Реализовать и обучить модель регрессии на основе алгоритма "Случайный лес".</w:t>
      </w:r>
    </w:p>
    <w:p w14:paraId="3C000000">
      <w:pPr>
        <w:numPr>
          <w:numId w:val="1"/>
        </w:numPr>
        <w:rPr>
          <w:rFonts w:ascii="Times New Roman" w:hAnsi="Times New Roman"/>
          <w:sz w:val="27"/>
        </w:rPr>
      </w:pPr>
      <w:r>
        <w:rPr>
          <w:rFonts w:ascii="Times New Roman" w:hAnsi="Times New Roman"/>
          <w:sz w:val="27"/>
        </w:rPr>
        <w:t xml:space="preserve">Провести сравнительный анализ эффективности построенных моделей и выбрать оптимальную. </w:t>
      </w:r>
    </w:p>
    <w:p w14:paraId="3D000000">
      <w:bookmarkStart w:id="1" w:name="__RefHeading___1"/>
      <w:bookmarkEnd w:id="1"/>
      <w:pPr>
        <w:pStyle w:val="Style_5"/>
        <w:spacing w:after="159"/>
        <w:ind/>
        <w:jc w:val="left"/>
      </w:pPr>
      <w:r>
        <w:br w:type="page"/>
      </w:r>
      <w:r>
        <w:rPr>
          <w:sz w:val="32"/>
        </w:rPr>
        <w:t>Глава 1.</w:t>
      </w:r>
      <w:r>
        <w:rPr>
          <w:sz w:val="32"/>
        </w:rPr>
        <w:t xml:space="preserve"> </w:t>
      </w:r>
      <w:r>
        <w:rPr>
          <w:rFonts w:ascii="Times New Roman" w:hAnsi="Times New Roman"/>
          <w:b w:val="1"/>
          <w:i w:val="0"/>
          <w:caps w:val="0"/>
          <w:color w:val="000000"/>
          <w:spacing w:val="0"/>
          <w:sz w:val="32"/>
        </w:rPr>
        <w:t>ТЕОРЕТИЧЕСКИЕ ОСНОВЫ ПРОГНОЗИРОВАНИЯ СТРАХОВЫХ ВЫПЛАТ СРЕДСТВАМИ МАШИННОГО ОБУЧЕНИЯ</w:t>
      </w:r>
    </w:p>
    <w:p w14:paraId="3E000000">
      <w:bookmarkStart w:id="2" w:name="__RefHeading___2"/>
      <w:bookmarkEnd w:id="2"/>
      <w:pPr>
        <w:pStyle w:val="Style_6"/>
      </w:pPr>
      <w:r>
        <w:t>1.1. Задача предсказания страховых выплат</w:t>
      </w:r>
    </w:p>
    <w:p w14:paraId="3F000000">
      <w:pPr>
        <w:spacing w:after="159" w:before="240"/>
        <w:ind w:firstLine="0" w:left="0" w:right="0"/>
        <w:jc w:val="both"/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</w:pP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 xml:space="preserve">Задача предсказания страховых выплат относится к классу задач прогнозной аналитики и машинного обучения с учителем, а именно — к задачам регрессии. </w:t>
      </w:r>
    </w:p>
    <w:p w14:paraId="40000000">
      <w:pPr>
        <w:spacing w:after="159" w:before="240"/>
        <w:ind w:firstLine="0" w:left="0" w:right="0"/>
        <w:jc w:val="both"/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</w:pP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 xml:space="preserve">Её основная цель заключается в построении математической модели, способной на основе исторических данных о клиентах (таких как возраст, индекс массы тела, вредные привычки, регион проживания и другие демографические признаки) прогнозировать непрерывную числовую величину — ожидаемый размер страховой выплаты. </w:t>
      </w:r>
    </w:p>
    <w:p w14:paraId="41000000">
      <w:pPr>
        <w:spacing w:after="159" w:before="240"/>
        <w:ind w:firstLine="0" w:left="0" w:right="0"/>
        <w:jc w:val="both"/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</w:pP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Точное прогнозирование позволяет страховым компаниям оптимизировать тарифную политику, более эффективно управлять рисками и финансовыми резервами, а также выявлять скрытые закономерности, влияющие на стоимость страховых случаев.</w:t>
      </w:r>
    </w:p>
    <w:p w14:paraId="42000000">
      <w:bookmarkStart w:id="3" w:name="__RefHeading___3"/>
      <w:bookmarkEnd w:id="3"/>
      <w:pPr>
        <w:pStyle w:val="Style_6"/>
      </w:pPr>
      <w:r>
        <w:t>1.2. Уточненная постановка задачи</w:t>
      </w:r>
    </w:p>
    <w:p w14:paraId="43000000">
      <w:pPr>
        <w:spacing w:after="159" w:before="240"/>
        <w:ind w:firstLine="0" w:left="0" w:right="0"/>
        <w:jc w:val="both"/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</w:pP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В рамках данной работы решается задача множественной линейной регрессии, где целевой переменной (зависимой переменной) является столбец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charges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(размер страховых выплат), а признаками (независимыми переменными) — все остальные столбцы в наборе данных: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age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,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sex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,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bmi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,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children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,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smoker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,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region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.</w:t>
      </w:r>
    </w:p>
    <w:p w14:paraId="44000000">
      <w:pPr>
        <w:spacing w:after="159" w:before="240"/>
        <w:ind w:firstLine="0" w:left="0" w:right="0"/>
        <w:jc w:val="both"/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</w:pP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Категориальные признаки (такие как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sex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,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smoker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,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region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, а также производный признак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weight_category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 xml:space="preserve">) перед обучением модели подвергаются процедуре One-Hot Encoding. </w:t>
      </w:r>
    </w:p>
    <w:p w14:paraId="45000000">
      <w:pPr>
        <w:spacing w:after="159" w:before="240"/>
        <w:ind w:firstLine="0" w:left="0" w:right="0"/>
        <w:jc w:val="both"/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</w:pP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Процесс решения задачи включает в себя следующие этапы: первичный разведочный анализ данных (EDA), предобработка данных (обработка пропусков, кодирование категориальных переменных, нормализация числовых признаков), разделение данных на обучающую и тестовую выборки, обучение и валидация моделей, а также сравнительный анализ их эффективности по метрикам MSE, MAE и R².</w:t>
      </w:r>
    </w:p>
    <w:p w14:paraId="46000000">
      <w:bookmarkStart w:id="4" w:name="__RefHeading___4"/>
      <w:bookmarkEnd w:id="4"/>
      <w:pPr>
        <w:pStyle w:val="Style_6"/>
      </w:pPr>
      <w:r>
        <w:t>1.3. Библиотеки, язык и среда разработки</w:t>
      </w:r>
    </w:p>
    <w:p w14:paraId="47000000">
      <w:pPr>
        <w:spacing w:after="159" w:before="240"/>
        <w:ind w:firstLine="0" w:left="0" w:right="0"/>
        <w:jc w:val="both"/>
        <w:rPr>
          <w:rFonts w:ascii="quote-cjk-patch" w:hAnsi="quote-cjk-patch"/>
          <w:b w:val="0"/>
          <w:i w:val="0"/>
          <w:caps w:val="0"/>
          <w:color w:val="F9FAFB"/>
          <w:spacing w:val="0"/>
          <w:sz w:val="24"/>
          <w:shd w:fill="151517" w:val="clear"/>
        </w:rPr>
      </w:pP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 xml:space="preserve">Работа выполнена на языке программирования Python версии 3.x, который был выбран благодаря его широкой распространённости в задачах анализа данных и машинного обучения, а также наличию мощного стека специализированных библиотек. </w:t>
      </w:r>
    </w:p>
    <w:p w14:paraId="48000000">
      <w:pPr>
        <w:spacing w:after="159" w:before="240"/>
        <w:ind w:firstLine="0" w:left="0" w:right="0"/>
        <w:jc w:val="both"/>
        <w:rPr>
          <w:rFonts w:ascii="quote-cjk-patch" w:hAnsi="quote-cjk-patch"/>
          <w:b w:val="0"/>
          <w:i w:val="0"/>
          <w:caps w:val="0"/>
          <w:color w:val="F9FAFB"/>
          <w:spacing w:val="0"/>
          <w:sz w:val="24"/>
          <w:shd w:fill="151517" w:val="clear"/>
        </w:rPr>
      </w:pP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 xml:space="preserve">В качестве основной среды разработки использовалась Jupyter Notebook, что позволяет интерактивно выполнять код, визуализировать данные и документировать ход исследования. </w:t>
      </w:r>
    </w:p>
    <w:p w14:paraId="49000000">
      <w:pPr>
        <w:spacing w:after="159" w:before="240"/>
        <w:ind w:firstLine="0" w:left="0" w:right="0"/>
        <w:jc w:val="both"/>
        <w:rPr>
          <w:rFonts w:ascii="quote-cjk-patch" w:hAnsi="quote-cjk-patch"/>
          <w:b w:val="0"/>
          <w:i w:val="0"/>
          <w:caps w:val="0"/>
          <w:color w:val="F9FAFB"/>
          <w:spacing w:val="0"/>
          <w:sz w:val="24"/>
          <w:shd w:fill="151517" w:val="clear"/>
        </w:rPr>
      </w:pP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Для решения поставленных задач были применены следующие библиотеки: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Pandas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— для манипуляций с данными и их загрузки;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NumPy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— для выполнения численных операций;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Matplotlib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и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Seaborn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 xml:space="preserve">— для 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визуализации данных и построения графиков;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Scikit-learn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 xml:space="preserve">— для предобработки 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данных, реализации алгоритмов машинного обучения (Linear Regression, Random Forest), их обучения и оценки качества.</w:t>
      </w:r>
    </w:p>
    <w:p w14:paraId="4A000000">
      <w:bookmarkStart w:id="5" w:name="__RefHeading___5"/>
      <w:bookmarkEnd w:id="5"/>
      <w:pPr>
        <w:pStyle w:val="Style_6"/>
      </w:pPr>
      <w:r>
        <w:t xml:space="preserve">1.4. </w:t>
      </w:r>
      <w:r>
        <w:t>Первичный разведочный анализ данных (EDA). Часть 1.</w:t>
      </w:r>
    </w:p>
    <w:p w14:paraId="4B000000">
      <w:pPr>
        <w:pStyle w:val="Style_2"/>
      </w:pPr>
    </w:p>
    <w:p w14:paraId="4C000000">
      <w:pPr>
        <w:pStyle w:val="Style_2"/>
        <w:numPr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>Импортируем базовые библиотеки и выгрузим таблицу из csv файла:</w:t>
      </w:r>
    </w:p>
    <w:p w14:paraId="4D000000">
      <w:pPr>
        <w:pStyle w:val="Style_2"/>
        <w:rPr>
          <w:rFonts w:ascii="Times New Roman" w:hAnsi="Times New Roman"/>
        </w:rPr>
      </w:pPr>
    </w:p>
    <w:p w14:paraId="4E000000">
      <w:pPr>
        <w:ind w:firstLine="0" w:left="0"/>
        <w:jc w:val="left"/>
      </w:pPr>
      <w:r>
        <w:t>import numpy as np</w:t>
      </w:r>
    </w:p>
    <w:p w14:paraId="4F000000">
      <w:pPr>
        <w:ind w:firstLine="0" w:left="0"/>
        <w:jc w:val="left"/>
      </w:pPr>
      <w:r>
        <w:t>import pandas as pd</w:t>
      </w:r>
    </w:p>
    <w:p w14:paraId="50000000">
      <w:pPr>
        <w:ind/>
        <w:jc w:val="left"/>
      </w:pPr>
      <w:r>
        <w:t xml:space="preserve">import matplotlib.pyplot as plt </w:t>
      </w:r>
    </w:p>
    <w:p w14:paraId="51000000">
      <w:pPr>
        <w:pStyle w:val="Style_2"/>
        <w:rPr>
          <w:rFonts w:ascii="Times New Roman" w:hAnsi="Times New Roman"/>
        </w:rPr>
      </w:pPr>
      <w:r>
        <w:t>import seaborn as sns</w:t>
      </w:r>
    </w:p>
    <w:p w14:paraId="52000000">
      <w:pPr>
        <w:pStyle w:val="Style_2"/>
        <w:rPr>
          <w:rFonts w:ascii="Times New Roman" w:hAnsi="Times New Roman"/>
        </w:rPr>
      </w:pPr>
    </w:p>
    <w:p w14:paraId="53000000">
      <w:pPr>
        <w:pStyle w:val="Style_2"/>
        <w:rPr>
          <w:rFonts w:ascii="Times New Roman" w:hAnsi="Times New Roman"/>
        </w:rPr>
      </w:pPr>
      <w:r>
        <w:t>med_insurance = pd.read_csv('insurance.csv')</w:t>
      </w:r>
    </w:p>
    <w:p w14:paraId="54000000">
      <w:pPr>
        <w:pStyle w:val="Style_2"/>
        <w:rPr>
          <w:rFonts w:ascii="Times New Roman" w:hAnsi="Times New Roman"/>
        </w:rPr>
      </w:pPr>
      <w:r>
        <w:t>print(med_insurance.head(5))</w:t>
      </w:r>
    </w:p>
    <w:p w14:paraId="55000000">
      <w:pPr>
        <w:pStyle w:val="Style_2"/>
        <w:rPr>
          <w:rFonts w:ascii="Times New Roman" w:hAnsi="Times New Roman"/>
        </w:rPr>
      </w:pPr>
    </w:p>
    <w:p w14:paraId="56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</w:pP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    age sex     bmi     children  smoker region     charges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0   19  female  27.900         0    yes  southwest  16884.92400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1   18    male  33.770         1     no  southeast   1725.55230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2   28    male  33.000         3     no  southeast   4449.46200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3   33    male  22.705         0     no  northwest  21984.47061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4   32    male  28.880         0     no  northwest   3866.85520</w:t>
      </w:r>
    </w:p>
    <w:p w14:paraId="57000000">
      <w:pPr>
        <w:pStyle w:val="Style_2"/>
        <w:rPr>
          <w:rFonts w:ascii="Times New Roman" w:hAnsi="Times New Roman"/>
        </w:rPr>
      </w:pPr>
    </w:p>
    <w:p w14:paraId="58000000">
      <w:pPr>
        <w:pStyle w:val="Style_2"/>
        <w:numPr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>Суммируем данные:</w:t>
      </w:r>
    </w:p>
    <w:p w14:paraId="59000000">
      <w:pPr>
        <w:pStyle w:val="Style_2"/>
        <w:rPr>
          <w:rFonts w:ascii="Times New Roman" w:hAnsi="Times New Roman"/>
        </w:rPr>
      </w:pPr>
    </w:p>
    <w:p w14:paraId="5A000000">
      <w:pPr>
        <w:pStyle w:val="Style_2"/>
        <w:rPr>
          <w:rFonts w:ascii="Times New Roman" w:hAnsi="Times New Roman"/>
        </w:rPr>
      </w:pPr>
      <w:r>
        <w:t>print(med_insurance.describe(include="all"))</w:t>
      </w:r>
    </w:p>
    <w:p w14:paraId="5B000000">
      <w:pPr>
        <w:pStyle w:val="Style_2"/>
        <w:rPr>
          <w:rFonts w:ascii="Times New Roman" w:hAnsi="Times New Roman"/>
        </w:rPr>
      </w:pPr>
    </w:p>
    <w:p w14:paraId="5C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</w:pP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               age   sex          bmi     children smoker     region  \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count   1338.000000  1338  1338.000000  1338.000000   1338       1338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unique          NaN     2          NaN          NaN      2          4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top             NaN  male          NaN          NaN     no  southeast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freq            NaN   676          NaN          NaN   1064        364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mean      39.207025   NaN    30.663397     1.094918    NaN        NaN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std       14.049960   NaN     6.098187     1.205493    NaN        NaN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min       18.000000   NaN    15.960000     0.000000    NaN        NaN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25%       27.000000   NaN    26.296250     0.000000    NaN        NaN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50%       39.000000   NaN    30.400000     1.000000    NaN        NaN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75%       51.000000   NaN    34.693750     2.000000    NaN        NaN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max       64.000000   NaN    53.130000     5.000000    NaN        NaN   </w:t>
      </w:r>
      <w:r>
        <w:br/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             </w:t>
      </w:r>
      <w:r>
        <w:br w:type="page"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         charges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count    1338.000000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unique           NaN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top              NaN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freq             NaN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mean    13270.422265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std     12110.011237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min      1121.873900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25%      4740.287150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50%      9382.033000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75%     16639.912515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max     63770.428010</w:t>
      </w:r>
    </w:p>
    <w:p w14:paraId="5D000000">
      <w:pPr>
        <w:pStyle w:val="Style_2"/>
        <w:rPr>
          <w:rFonts w:ascii="Times New Roman" w:hAnsi="Times New Roman"/>
        </w:rPr>
      </w:pPr>
    </w:p>
    <w:p w14:paraId="5E000000">
      <w:pPr>
        <w:pStyle w:val="Style_2"/>
        <w:rPr>
          <w:rFonts w:ascii="Times New Roman" w:hAnsi="Times New Roman"/>
        </w:rPr>
      </w:pPr>
      <w:r>
        <w:t>print(med_insurance.dtypes)</w:t>
      </w:r>
    </w:p>
    <w:p w14:paraId="5F000000">
      <w:pPr>
        <w:pStyle w:val="Style_2"/>
        <w:rPr>
          <w:rFonts w:ascii="Times New Roman" w:hAnsi="Times New Roman"/>
        </w:rPr>
      </w:pPr>
    </w:p>
    <w:p w14:paraId="60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</w:pP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age           int64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sex          object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bmi         float64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children      int64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smoker       object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region       object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charges     float64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dtype: object</w:t>
      </w:r>
    </w:p>
    <w:p w14:paraId="61000000">
      <w:pPr>
        <w:pStyle w:val="Style_2"/>
        <w:rPr>
          <w:rFonts w:ascii="Times New Roman" w:hAnsi="Times New Roman"/>
        </w:rPr>
      </w:pPr>
    </w:p>
    <w:p w14:paraId="62000000">
      <w:pPr>
        <w:pStyle w:val="Style_2"/>
        <w:numPr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>Нормализуем данные, создадим производный признак weight_category:</w:t>
      </w:r>
    </w:p>
    <w:p w14:paraId="63000000">
      <w:pPr>
        <w:pStyle w:val="Style_2"/>
        <w:rPr>
          <w:rFonts w:ascii="Times New Roman" w:hAnsi="Times New Roman"/>
        </w:rPr>
      </w:pPr>
    </w:p>
    <w:p w14:paraId="64000000">
      <w:pPr>
        <w:ind/>
        <w:jc w:val="left"/>
      </w:pPr>
      <w:r>
        <w:t>partition_by_bmi = lambda bmi: 'Underweight' if bmi &lt; 25.0 else 'Overweight'</w:t>
      </w:r>
    </w:p>
    <w:p w14:paraId="65000000">
      <w:pPr>
        <w:ind/>
        <w:jc w:val="left"/>
      </w:pPr>
      <w:r>
        <w:t>bmi_copy = med_insurance['bmi']</w:t>
      </w:r>
    </w:p>
    <w:p w14:paraId="66000000">
      <w:pPr>
        <w:ind/>
        <w:jc w:val="left"/>
      </w:pPr>
      <w:r>
        <w:t>med_insurance_bmi = bmi_copy.apply(partition_by_bmi)</w:t>
      </w:r>
    </w:p>
    <w:p w14:paraId="67000000">
      <w:pPr>
        <w:ind/>
        <w:jc w:val="left"/>
      </w:pPr>
      <w:r>
        <w:t>med_insurance_bmi = med_insurance_bmi.to_frame()</w:t>
      </w:r>
    </w:p>
    <w:p w14:paraId="68000000">
      <w:pPr>
        <w:ind/>
        <w:jc w:val="left"/>
      </w:pPr>
    </w:p>
    <w:p w14:paraId="69000000">
      <w:pPr>
        <w:ind/>
        <w:jc w:val="left"/>
      </w:pPr>
      <w:r>
        <w:t>med_insurance_bmi.rename(columns={'bmi': 'weight_category'}, inplace=True)</w:t>
      </w:r>
    </w:p>
    <w:p w14:paraId="6A000000">
      <w:pPr>
        <w:ind/>
        <w:jc w:val="left"/>
      </w:pPr>
      <w:r>
        <w:t>med_insurance_bmi['bmi'] = med_insurance.bmi</w:t>
      </w:r>
    </w:p>
    <w:p w14:paraId="6B000000">
      <w:pPr>
        <w:ind/>
        <w:jc w:val="left"/>
      </w:pPr>
    </w:p>
    <w:p w14:paraId="6C000000">
      <w:pPr>
        <w:ind/>
        <w:jc w:val="left"/>
      </w:pPr>
      <w:r>
        <w:t>partition_by_bmi_2 = lambda row: 'Normal weight' if (row.bmi &gt;= 18.5 and row.bmi &lt; 25.0) else row.weight_category</w:t>
      </w:r>
    </w:p>
    <w:p w14:paraId="6D000000">
      <w:pPr>
        <w:ind/>
        <w:jc w:val="left"/>
      </w:pPr>
      <w:r>
        <w:t>med_insurance_bmi['weight_category'] = med_insurance_bmi.apply(partition_by_bmi_2, axis=1)</w:t>
      </w:r>
    </w:p>
    <w:p w14:paraId="6E000000">
      <w:pPr>
        <w:ind/>
        <w:jc w:val="left"/>
      </w:pPr>
    </w:p>
    <w:p w14:paraId="6F000000">
      <w:pPr>
        <w:ind/>
        <w:jc w:val="left"/>
      </w:pPr>
      <w:r>
        <w:t>partition_by_bmi_3 = lambda row: 'Obesity' if row.bmi &gt; 30.0 else row.weight_category</w:t>
      </w:r>
    </w:p>
    <w:p w14:paraId="70000000">
      <w:pPr>
        <w:ind/>
        <w:jc w:val="left"/>
      </w:pPr>
      <w:r>
        <w:t>med_insurance_bmi['weight_category'] = med_insurance_bmi.apply(partition_by_bmi_3, axis=1)</w:t>
      </w:r>
    </w:p>
    <w:p w14:paraId="71000000">
      <w:pPr>
        <w:ind/>
        <w:jc w:val="left"/>
      </w:pPr>
    </w:p>
    <w:p w14:paraId="72000000">
      <w:pPr>
        <w:pStyle w:val="Style_2"/>
        <w:ind/>
        <w:jc w:val="left"/>
        <w:rPr>
          <w:rFonts w:ascii="Times New Roman" w:hAnsi="Times New Roman"/>
        </w:rPr>
      </w:pPr>
      <w:r>
        <w:t>print(med_insurance_bmi.head(30))</w:t>
      </w:r>
    </w:p>
    <w:p w14:paraId="73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</w:pP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   weight_category     bmi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0       Overweight  27.900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1          Obesity  33.770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2          Obesity  33.000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3    Normal weight  22.705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4       Overweight  28.880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5       Overweight  25.740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6          Obesity  33.440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7       Overweight  27.740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8       Overweight  29.830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9       Overweight  25.840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10      Overweight  26.220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11      Overweight  26.290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12         Obesity  34.400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13         Obesity  39.820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14         Obesity  42.130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15   Normal weight  24.600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16         Obesity  30.780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17   Normal weight  23.845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18         Obesity  40.300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19         Obesity  35.300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20         Obesity  36.005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21         Obesity  32.400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22         Obesity  34.100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23         Obesity  31.920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24      Overweight  28.025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25      Overweight  27.720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26   Normal weight  23.085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27         Obesity  32.775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28     Underweight  17.385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29         Obesity  36.300</w:t>
      </w:r>
    </w:p>
    <w:p w14:paraId="74000000">
      <w:pPr>
        <w:pStyle w:val="Style_2"/>
        <w:rPr>
          <w:rFonts w:ascii="Times New Roman" w:hAnsi="Times New Roman"/>
        </w:rPr>
      </w:pPr>
    </w:p>
    <w:p w14:paraId="75000000">
      <w:pPr>
        <w:pStyle w:val="Style_2"/>
        <w:numPr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>Нормализуем weight_category и region при помощи One-Hot Encoding:</w:t>
      </w:r>
    </w:p>
    <w:p w14:paraId="76000000">
      <w:pPr>
        <w:pStyle w:val="Style_2"/>
        <w:rPr>
          <w:rFonts w:ascii="Times New Roman" w:hAnsi="Times New Roman"/>
        </w:rPr>
      </w:pPr>
    </w:p>
    <w:p w14:paraId="77000000">
      <w:pPr>
        <w:ind/>
        <w:jc w:val="left"/>
      </w:pPr>
      <w:r>
        <w:t>med_insurance_2 = med_insurance[['age', 'sex', 'bmi', 'children', 'smoker', 'region', 'charges']]</w:t>
      </w:r>
    </w:p>
    <w:p w14:paraId="78000000">
      <w:pPr>
        <w:ind/>
        <w:jc w:val="left"/>
      </w:pPr>
      <w:r>
        <w:t>med_insurance_2['weight_category'] = med_insurance_bmi['weight_category']</w:t>
      </w:r>
    </w:p>
    <w:p w14:paraId="79000000">
      <w:pPr>
        <w:ind/>
        <w:jc w:val="left"/>
      </w:pPr>
      <w:r>
        <w:t>print(med_insurance_2.head(5))</w:t>
      </w:r>
    </w:p>
    <w:p w14:paraId="7A000000">
      <w:pPr>
        <w:ind/>
        <w:jc w:val="left"/>
      </w:pPr>
    </w:p>
    <w:p w14:paraId="7B000000">
      <w:pPr>
        <w:ind/>
        <w:jc w:val="left"/>
      </w:pPr>
      <w:r>
        <w:t>med_insurance_2 = pd.get_dummies(data=med_insurance_2, columns=['weight_category', 'region'], dtype='int')</w:t>
      </w:r>
    </w:p>
    <w:p w14:paraId="7C000000">
      <w:pPr>
        <w:pStyle w:val="Style_2"/>
        <w:ind/>
        <w:jc w:val="left"/>
        <w:rPr>
          <w:rFonts w:ascii="Times New Roman" w:hAnsi="Times New Roman"/>
        </w:rPr>
      </w:pPr>
      <w:r>
        <w:t>print(med_insurance_2.head(5))</w:t>
      </w:r>
    </w:p>
    <w:p w14:paraId="7D000000">
      <w:pPr>
        <w:pStyle w:val="Style_2"/>
        <w:ind/>
        <w:jc w:val="left"/>
        <w:rPr>
          <w:rFonts w:ascii="Times New Roman" w:hAnsi="Times New Roman"/>
        </w:rPr>
      </w:pPr>
    </w:p>
    <w:p w14:paraId="7E000000">
      <w:pPr>
        <w:pStyle w:val="Style_2"/>
        <w:ind/>
        <w:jc w:val="left"/>
        <w:rPr>
          <w:rFonts w:ascii="Times New Roman" w:hAnsi="Times New Roman"/>
        </w:rPr>
      </w:pPr>
      <w:r>
        <w:br w:type="page"/>
      </w:r>
    </w:p>
    <w:p w14:paraId="7F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</w:pP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   age     sex     bmi  children smoker      charges  \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0   19  female  27.900         0    yes  16884.92400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1   18    male  33.770         1     no   1725.55230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2   28    male  33.000         3     no   4449.46200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3   33    male  22.705         0     no  21984.47061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4   32    male  28.880         0     no   3866.85520   </w:t>
      </w:r>
      <w:r>
        <w:br/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   weight_category_Normal weight  weight_category_Obesity  \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0                              0                        0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1                              0                        1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2                              0                        1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3                              1                        0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4                              0                        0   </w:t>
      </w:r>
      <w:r>
        <w:br/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   weight_category_Overweight  weight_category_Underweight  region_northeast  \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0                           1                            0                 0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1                           0                            0                 0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2                           0                            0                 0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3                           0                            0                 0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4                           1                            0                 0   </w:t>
      </w:r>
      <w:r>
        <w:br/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   region_northwest  region_southeast  region_southwest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0                 0                 0                 1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1                 0                 1                 0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2                 0                 1                 0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3                 1                 0                 0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4                 1                 0                 0  </w:t>
      </w:r>
    </w:p>
    <w:p w14:paraId="80000000">
      <w:pPr>
        <w:pStyle w:val="Style_2"/>
        <w:rPr>
          <w:rFonts w:ascii="Times New Roman" w:hAnsi="Times New Roman"/>
        </w:rPr>
      </w:pPr>
    </w:p>
    <w:p w14:paraId="81000000">
      <w:pPr>
        <w:pStyle w:val="Style_2"/>
        <w:rPr>
          <w:rFonts w:ascii="Times New Roman" w:hAnsi="Times New Roman"/>
        </w:rPr>
      </w:pPr>
    </w:p>
    <w:p w14:paraId="82000000">
      <w:bookmarkStart w:id="6" w:name="__RefHeading___6"/>
      <w:bookmarkEnd w:id="6"/>
      <w:pPr>
        <w:pStyle w:val="Style_6"/>
      </w:pPr>
      <w:r>
        <w:t xml:space="preserve">1.5. </w:t>
      </w:r>
      <w:r>
        <w:t>Первичный разведочный анализ данных (EDA). Часть 2.</w:t>
      </w:r>
    </w:p>
    <w:p w14:paraId="83000000">
      <w:pPr>
        <w:pStyle w:val="Style_2"/>
        <w:rPr>
          <w:rFonts w:ascii="Times New Roman" w:hAnsi="Times New Roman"/>
        </w:rPr>
      </w:pPr>
    </w:p>
    <w:p w14:paraId="84000000">
      <w:pPr>
        <w:ind w:firstLine="0" w:left="0"/>
        <w:jc w:val="left"/>
      </w:pPr>
      <w:r>
        <w:t>Ответим на следующие вопросы:</w:t>
      </w:r>
    </w:p>
    <w:p w14:paraId="85000000">
      <w:pPr>
        <w:ind w:firstLine="0" w:left="0"/>
        <w:jc w:val="left"/>
      </w:pPr>
    </w:p>
    <w:p w14:paraId="86000000">
      <w:pPr>
        <w:numPr>
          <w:numId w:val="3"/>
        </w:numPr>
        <w:ind/>
        <w:jc w:val="left"/>
        <w:rPr>
          <w:b w:val="1"/>
        </w:rPr>
      </w:pPr>
      <w:r>
        <w:rPr>
          <w:b w:val="1"/>
          <w:sz w:val="30"/>
        </w:rPr>
        <w:t xml:space="preserve">Как между собой соотносятся bmi </w:t>
      </w:r>
      <w:r>
        <w:rPr>
          <w:b w:val="1"/>
        </w:rPr>
        <w:drawing>
          <wp:inline>
            <wp:extent cx="6264274" cy="4605145"/>
            <wp:effectExtent b="0" l="0" r="0" t="0"/>
            <wp:docPr hidden="false" id="2" name="Picture 2"/>
            <a:graphic>
              <a:graphicData uri="http://schemas.openxmlformats.org/drawingml/2006/picture">
                <pic:pic>
                  <pic:nvPicPr>
                    <pic:cNvPr hidden="false" id="3" name="Picture 3"/>
                    <pic:cNvPicPr preferRelativeResize="true"/>
                  </pic:nvPicPr>
                  <pic:blipFill>
                    <a:blip r:embed="rId3"/>
                    <a:stretch/>
                  </pic:blipFill>
                  <pic:spPr>
                    <a:xfrm flipH="false" flipV="false" rot="0">
                      <a:ext cx="6264274" cy="460514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87000000">
      <w:pPr>
        <w:ind/>
        <w:jc w:val="left"/>
      </w:pPr>
    </w:p>
    <w:p w14:paraId="88000000">
      <w:pPr>
        <w:ind/>
        <w:jc w:val="left"/>
      </w:pPr>
      <w:r>
        <w:drawing>
          <wp:inline>
            <wp:extent cx="6264275" cy="3875175"/>
            <wp:effectExtent b="0" l="0" r="0" t="0"/>
            <wp:docPr hidden="false" id="4" name="Picture 4"/>
            <a:graphic>
              <a:graphicData uri="http://schemas.openxmlformats.org/drawingml/2006/picture">
                <pic:pic>
                  <pic:nvPicPr>
                    <pic:cNvPr hidden="false" id="5" name="Picture 5"/>
                    <pic:cNvPicPr preferRelativeResize="true"/>
                  </pic:nvPicPr>
                  <pic:blipFill>
                    <a:blip r:embed="rId4"/>
                    <a:stretch/>
                  </pic:blipFill>
                  <pic:spPr>
                    <a:xfrm flipH="false" flipV="false" rot="0">
                      <a:ext cx="6264275" cy="387517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89000000">
      <w:pPr>
        <w:ind/>
        <w:jc w:val="left"/>
      </w:pPr>
    </w:p>
    <w:p w14:paraId="8A000000">
      <w:pPr>
        <w:spacing w:after="159"/>
        <w:ind/>
        <w:jc w:val="both"/>
      </w:pPr>
      <w:r>
        <w:br w:type="page"/>
      </w:r>
      <w:r>
        <w:rPr>
          <w:rFonts w:ascii="Times New Roman" w:hAnsi="Times New Roman"/>
          <w:b w:val="1"/>
          <w:sz w:val="27"/>
        </w:rPr>
        <w:t>Наблюдение 1.</w:t>
      </w:r>
      <w:r>
        <w:rPr>
          <w:rFonts w:ascii="Times New Roman" w:hAnsi="Times New Roman"/>
          <w:sz w:val="27"/>
        </w:rPr>
        <w:t xml:space="preserve"> Благодаря визуализации, мы можем рассмотреть что люди с BMI классифицированным как 'Obesity' соблюдают тенденцию иметь более высокую стоимость страховых выплат, а люди с BMI 'Underweight' имеют более низкую стоимость страховых выплат. 'Normal weight' и 'Overweight' в общем и целом одинаковы.</w:t>
      </w:r>
    </w:p>
    <w:p w14:paraId="8B000000">
      <w:pPr>
        <w:ind/>
        <w:jc w:val="left"/>
      </w:pPr>
    </w:p>
    <w:p w14:paraId="8C000000">
      <w:pPr>
        <w:numPr>
          <w:numId w:val="3"/>
        </w:numPr>
        <w:ind/>
        <w:jc w:val="left"/>
        <w:rPr>
          <w:b w:val="1"/>
          <w:sz w:val="30"/>
        </w:rPr>
      </w:pPr>
      <w:r>
        <w:rPr>
          <w:b w:val="1"/>
          <w:sz w:val="30"/>
        </w:rPr>
        <w:t>Посчитать центральную тенденцию charges.</w:t>
      </w:r>
    </w:p>
    <w:p w14:paraId="8D000000">
      <w:pPr>
        <w:ind/>
        <w:jc w:val="left"/>
      </w:pPr>
    </w:p>
    <w:p w14:paraId="8E000000">
      <w:r>
        <w:t xml:space="preserve">    Mean: 13270.422265141257</w:t>
      </w:r>
    </w:p>
    <w:p w14:paraId="8F000000">
      <w:r>
        <w:t xml:space="preserve">    Median: 9382.033</w:t>
      </w:r>
    </w:p>
    <w:p w14:paraId="90000000">
      <w:r>
        <w:t xml:space="preserve">    Mode: 0    1639.5631</w:t>
      </w:r>
    </w:p>
    <w:p w14:paraId="91000000">
      <w:r>
        <w:t xml:space="preserve">    Name: charges, dtype: float64</w:t>
      </w:r>
    </w:p>
    <w:p w14:paraId="92000000">
      <w:pPr>
        <w:ind/>
        <w:jc w:val="left"/>
      </w:pPr>
      <w:r>
        <w:t xml:space="preserve">    Trimmed mean: 9877.310386652985</w:t>
      </w:r>
    </w:p>
    <w:p w14:paraId="93000000">
      <w:pPr>
        <w:ind/>
        <w:jc w:val="left"/>
      </w:pPr>
    </w:p>
    <w:p w14:paraId="94000000">
      <w:pPr>
        <w:ind/>
        <w:jc w:val="left"/>
      </w:pPr>
      <w:r>
        <w:drawing>
          <wp:inline>
            <wp:extent cx="6264274" cy="4739346"/>
            <wp:effectExtent b="0" l="0" r="0" t="0"/>
            <wp:docPr hidden="false" id="6" name="Picture 6"/>
            <a:graphic>
              <a:graphicData uri="http://schemas.openxmlformats.org/drawingml/2006/picture">
                <pic:pic>
                  <pic:nvPicPr>
                    <pic:cNvPr hidden="false" id="7" name="Picture 7"/>
                    <pic:cNvPicPr preferRelativeResize="true"/>
                  </pic:nvPicPr>
                  <pic:blipFill>
                    <a:blip r:embed="rId5"/>
                    <a:stretch/>
                  </pic:blipFill>
                  <pic:spPr>
                    <a:xfrm flipH="false" flipV="false" rot="0">
                      <a:ext cx="6264274" cy="473934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95000000">
      <w:pPr>
        <w:spacing w:after="159"/>
        <w:ind/>
        <w:rPr>
          <w:rFonts w:ascii="Times New Roman" w:hAnsi="Times New Roman"/>
          <w:sz w:val="27"/>
        </w:rPr>
      </w:pPr>
      <w:r>
        <w:rPr>
          <w:rFonts w:ascii="Times New Roman" w:hAnsi="Times New Roman"/>
          <w:b w:val="1"/>
          <w:sz w:val="27"/>
        </w:rPr>
        <w:t>Наблюдение 2.</w:t>
      </w:r>
      <w:r>
        <w:rPr>
          <w:rFonts w:ascii="Times New Roman" w:hAnsi="Times New Roman"/>
          <w:sz w:val="27"/>
        </w:rPr>
        <w:t xml:space="preserve"> </w:t>
      </w:r>
      <w:r>
        <w:rPr>
          <w:rFonts w:ascii="Times New Roman" w:hAnsi="Times New Roman"/>
          <w:sz w:val="27"/>
        </w:rPr>
        <w:t>Из графика видно, что данные имеют выраженное правостороннее смещение (положительную асимметрию), что приводит к тому, что среднее значение оказывается выше медианы. Это указывает на наличие экстремально высоких значений в правой части распределения.</w:t>
      </w:r>
    </w:p>
    <w:p w14:paraId="96000000">
      <w:pPr>
        <w:spacing w:after="159"/>
        <w:ind/>
        <w:rPr>
          <w:rFonts w:ascii="Times New Roman" w:hAnsi="Times New Roman"/>
          <w:sz w:val="27"/>
        </w:rPr>
      </w:pPr>
    </w:p>
    <w:p w14:paraId="97000000">
      <w:pPr>
        <w:spacing w:after="159"/>
        <w:ind/>
        <w:rPr>
          <w:rFonts w:ascii="Times New Roman" w:hAnsi="Times New Roman"/>
          <w:sz w:val="27"/>
        </w:rPr>
      </w:pPr>
      <w:r>
        <w:rPr>
          <w:rFonts w:ascii="Times New Roman" w:hAnsi="Times New Roman"/>
          <w:b w:val="1"/>
          <w:sz w:val="27"/>
        </w:rPr>
        <w:t>Наблюдение 3.</w:t>
      </w:r>
      <w:r>
        <w:rPr>
          <w:rFonts w:ascii="Times New Roman" w:hAnsi="Times New Roman"/>
          <w:sz w:val="27"/>
        </w:rPr>
        <w:t xml:space="preserve"> </w:t>
      </w:r>
      <w:r>
        <w:rPr>
          <w:rFonts w:ascii="Times New Roman" w:hAnsi="Times New Roman"/>
          <w:sz w:val="27"/>
        </w:rPr>
        <w:t>Мы видим, что усеченное среднее значение достаточно близко к медиане и моде. Особенно это заметно при отсечении 20% данных с каждой стороны распределения.</w:t>
      </w:r>
    </w:p>
    <w:p w14:paraId="98000000">
      <w:pPr>
        <w:spacing w:after="159"/>
        <w:ind/>
        <w:jc w:val="left"/>
        <w:rPr>
          <w:rFonts w:ascii="Times New Roman" w:hAnsi="Times New Roman"/>
          <w:sz w:val="27"/>
        </w:rPr>
      </w:pPr>
    </w:p>
    <w:p w14:paraId="99000000">
      <w:pPr>
        <w:spacing w:after="159"/>
        <w:ind/>
        <w:jc w:val="left"/>
        <w:rPr>
          <w:rFonts w:ascii="Times New Roman" w:hAnsi="Times New Roman"/>
          <w:sz w:val="27"/>
        </w:rPr>
      </w:pPr>
      <w:r>
        <w:rPr>
          <w:rFonts w:ascii="Times New Roman" w:hAnsi="Times New Roman"/>
          <w:b w:val="1"/>
          <w:sz w:val="27"/>
        </w:rPr>
        <w:t>Наблюдение 4.</w:t>
      </w:r>
      <w:r>
        <w:rPr>
          <w:rFonts w:ascii="Times New Roman" w:hAnsi="Times New Roman"/>
          <w:sz w:val="27"/>
        </w:rPr>
        <w:t xml:space="preserve"> </w:t>
      </w:r>
      <w:r>
        <w:rPr>
          <w:rFonts w:ascii="Times New Roman" w:hAnsi="Times New Roman"/>
          <w:sz w:val="27"/>
        </w:rPr>
        <w:t>На основе анализа можно сделать вывод, что типичная стоимость страховки составляет около 9400 долларов.</w:t>
      </w:r>
    </w:p>
    <w:p w14:paraId="9A000000">
      <w:pPr>
        <w:ind/>
        <w:jc w:val="left"/>
      </w:pPr>
    </w:p>
    <w:p w14:paraId="9B000000">
      <w:pPr>
        <w:numPr>
          <w:numId w:val="3"/>
        </w:numPr>
        <w:ind/>
        <w:jc w:val="left"/>
        <w:rPr>
          <w:rFonts w:ascii="Times New Roman" w:hAnsi="Times New Roman"/>
          <w:b w:val="1"/>
          <w:sz w:val="30"/>
        </w:rPr>
      </w:pPr>
      <w:r>
        <w:rPr>
          <w:rFonts w:ascii="Times New Roman" w:hAnsi="Times New Roman"/>
          <w:b w:val="1"/>
          <w:sz w:val="30"/>
        </w:rPr>
        <w:t>Посчитать дисперсию charges.</w:t>
      </w:r>
    </w:p>
    <w:p w14:paraId="9C000000">
      <w:pPr>
        <w:ind/>
        <w:jc w:val="left"/>
      </w:pPr>
    </w:p>
    <w:p w14:paraId="9D000000">
      <w:r>
        <w:t xml:space="preserve">    Range: 62648.554110000005</w:t>
      </w:r>
    </w:p>
    <w:p w14:paraId="9E000000">
      <w:r>
        <w:t xml:space="preserve">    Interquartile range: 11899.625365</w:t>
      </w:r>
    </w:p>
    <w:p w14:paraId="9F000000">
      <w:r>
        <w:t xml:space="preserve">    Variance: 146652372.15285483</w:t>
      </w:r>
    </w:p>
    <w:p w14:paraId="A0000000">
      <w:r>
        <w:t xml:space="preserve">    Standard deviation: 12110.011236693996</w:t>
      </w:r>
    </w:p>
    <w:p w14:paraId="A1000000">
      <w:pPr>
        <w:ind/>
        <w:jc w:val="left"/>
      </w:pPr>
      <w:r>
        <w:t xml:space="preserve">    Mean Absolute Deviation: 9091.12658113703</w:t>
      </w:r>
    </w:p>
    <w:p w14:paraId="A2000000">
      <w:pPr>
        <w:ind/>
        <w:jc w:val="left"/>
      </w:pPr>
    </w:p>
    <w:p w14:paraId="A3000000">
      <w:pPr>
        <w:spacing w:after="159"/>
        <w:ind/>
        <w:rPr>
          <w:rFonts w:ascii="Times New Roman" w:hAnsi="Times New Roman"/>
          <w:sz w:val="27"/>
        </w:rPr>
      </w:pPr>
      <w:r>
        <w:rPr>
          <w:rFonts w:ascii="Times New Roman" w:hAnsi="Times New Roman"/>
          <w:b w:val="1"/>
          <w:sz w:val="27"/>
        </w:rPr>
        <w:t>Наблюдение 5.</w:t>
      </w:r>
      <w:r>
        <w:rPr>
          <w:rFonts w:ascii="Times New Roman" w:hAnsi="Times New Roman"/>
          <w:sz w:val="27"/>
        </w:rPr>
        <w:t xml:space="preserve"> Мы видим, что размах (range) не подходит для описания данных в данном случае, поскольку у одного или нескольких человек стоимость страховых выплат превышает 60 000$. Следовательно, нам следует рассмотреть межквартильный размах (IQR).</w:t>
      </w:r>
    </w:p>
    <w:p w14:paraId="A4000000">
      <w:pPr>
        <w:spacing w:after="159"/>
        <w:ind/>
        <w:rPr>
          <w:rFonts w:ascii="Times New Roman" w:hAnsi="Times New Roman"/>
          <w:sz w:val="27"/>
        </w:rPr>
      </w:pPr>
    </w:p>
    <w:p w14:paraId="A5000000">
      <w:pPr>
        <w:spacing w:after="159"/>
        <w:ind/>
        <w:rPr>
          <w:rFonts w:ascii="Times New Roman" w:hAnsi="Times New Roman"/>
          <w:sz w:val="27"/>
        </w:rPr>
      </w:pPr>
      <w:r>
        <w:rPr>
          <w:rFonts w:ascii="Times New Roman" w:hAnsi="Times New Roman"/>
          <w:b w:val="1"/>
          <w:sz w:val="27"/>
        </w:rPr>
        <w:t>Наблюдение 6.</w:t>
      </w:r>
      <w:r>
        <w:rPr>
          <w:rFonts w:ascii="Times New Roman" w:hAnsi="Times New Roman"/>
          <w:sz w:val="27"/>
        </w:rPr>
        <w:t xml:space="preserve"> Стандартное отклонение не является достаточно информативной мерой в данном случае, поскольку наши данные имеют выраженное правостороннее смещение. Поэтому целесообразно рассмотреть среднее абсолютное отклонение (MAD).</w:t>
      </w:r>
    </w:p>
    <w:p w14:paraId="A6000000">
      <w:pPr>
        <w:spacing w:after="159"/>
        <w:ind/>
        <w:rPr>
          <w:rFonts w:ascii="Times New Roman" w:hAnsi="Times New Roman"/>
          <w:sz w:val="27"/>
        </w:rPr>
      </w:pPr>
    </w:p>
    <w:p w14:paraId="A7000000">
      <w:pPr>
        <w:spacing w:after="159"/>
        <w:ind/>
        <w:rPr>
          <w:rFonts w:ascii="Times New Roman" w:hAnsi="Times New Roman"/>
          <w:b w:val="1"/>
          <w:sz w:val="27"/>
        </w:rPr>
      </w:pPr>
      <w:r>
        <w:rPr>
          <w:rFonts w:ascii="Times New Roman" w:hAnsi="Times New Roman"/>
          <w:b w:val="1"/>
          <w:sz w:val="27"/>
        </w:rPr>
        <w:t xml:space="preserve">Наблюдение 7. </w:t>
      </w:r>
      <w:r>
        <w:rPr>
          <w:rFonts w:ascii="Times New Roman" w:hAnsi="Times New Roman"/>
          <w:sz w:val="27"/>
        </w:rPr>
        <w:t xml:space="preserve">Из </w:t>
      </w:r>
      <w:r>
        <w:rPr>
          <w:rFonts w:ascii="Times New Roman" w:hAnsi="Times New Roman"/>
          <w:i w:val="1"/>
          <w:sz w:val="27"/>
        </w:rPr>
        <w:t>наблюдения 1</w:t>
      </w:r>
      <w:r>
        <w:rPr>
          <w:rFonts w:ascii="Times New Roman" w:hAnsi="Times New Roman"/>
          <w:sz w:val="27"/>
        </w:rPr>
        <w:t xml:space="preserve"> мы видим, что центральные 50% данных сконцентрированы вокруг медианы. </w:t>
      </w:r>
      <w:r>
        <w:rPr>
          <w:rFonts w:ascii="Times New Roman" w:hAnsi="Times New Roman"/>
          <w:i w:val="1"/>
          <w:sz w:val="27"/>
        </w:rPr>
        <w:t>Наблюдение 2</w:t>
      </w:r>
      <w:r>
        <w:rPr>
          <w:rFonts w:ascii="Times New Roman" w:hAnsi="Times New Roman"/>
          <w:sz w:val="27"/>
        </w:rPr>
        <w:t xml:space="preserve"> показывает, что страховые затраты большинства людей тесно сгруппированы вокруг типичной стоимости.</w:t>
      </w:r>
    </w:p>
    <w:p w14:paraId="A8000000">
      <w:pPr>
        <w:spacing w:after="159"/>
        <w:ind/>
        <w:rPr>
          <w:rFonts w:ascii="Times New Roman" w:hAnsi="Times New Roman"/>
          <w:b w:val="1"/>
        </w:rPr>
      </w:pPr>
      <w:r>
        <w:br w:type="page"/>
      </w:r>
    </w:p>
    <w:p w14:paraId="A9000000">
      <w:pPr>
        <w:numPr>
          <w:numId w:val="3"/>
        </w:numPr>
        <w:ind/>
        <w:jc w:val="left"/>
      </w:pPr>
      <w:r>
        <w:rPr>
          <w:rFonts w:ascii="Times New Roman" w:hAnsi="Times New Roman"/>
          <w:b w:val="1"/>
          <w:sz w:val="30"/>
        </w:rPr>
        <w:t>Посчитать центральную тенденцию ages в датасете.</w:t>
      </w:r>
    </w:p>
    <w:p w14:paraId="AA000000">
      <w:pPr>
        <w:ind/>
        <w:jc w:val="left"/>
      </w:pPr>
    </w:p>
    <w:p w14:paraId="AB000000">
      <w:r>
        <w:t xml:space="preserve">    Mean: 39.20702541106129</w:t>
      </w:r>
    </w:p>
    <w:p w14:paraId="AC000000">
      <w:r>
        <w:t xml:space="preserve">    Median: 39.0</w:t>
      </w:r>
    </w:p>
    <w:p w14:paraId="AD000000">
      <w:r>
        <w:t xml:space="preserve">    Mode: 0    18</w:t>
      </w:r>
    </w:p>
    <w:p w14:paraId="AE000000">
      <w:r>
        <w:t xml:space="preserve">    Name: age, dtype: int64</w:t>
      </w:r>
    </w:p>
    <w:p w14:paraId="AF000000">
      <w:pPr>
        <w:ind/>
        <w:jc w:val="left"/>
      </w:pPr>
      <w:r>
        <w:t xml:space="preserve">    Trimmed mean: 39.02985074626866</w:t>
      </w:r>
    </w:p>
    <w:p w14:paraId="B0000000">
      <w:pPr>
        <w:ind/>
        <w:jc w:val="left"/>
      </w:pPr>
    </w:p>
    <w:p w14:paraId="B1000000">
      <w:pPr>
        <w:ind/>
        <w:jc w:val="left"/>
      </w:pPr>
      <w:r>
        <w:drawing>
          <wp:inline>
            <wp:extent cx="6264274" cy="4739346"/>
            <wp:docPr hidden="false" id="8" name="Picture 8"/>
            <a:graphic>
              <a:graphicData uri="http://schemas.openxmlformats.org/drawingml/2006/picture">
                <pic:pic>
                  <pic:nvPicPr>
                    <pic:cNvPr hidden="false" id="9" name="Picture 9"/>
                    <pic:cNvPicPr preferRelativeResize="true"/>
                  </pic:nvPicPr>
                  <pic:blipFill>
                    <a:blip r:embed="rId6"/>
                    <a:stretch/>
                  </pic:blipFill>
                  <pic:spPr>
                    <a:xfrm flipH="false" flipV="false" rot="0">
                      <a:ext cx="6264274" cy="473934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B2000000">
      <w:pPr>
        <w:ind/>
        <w:jc w:val="left"/>
      </w:pPr>
    </w:p>
    <w:p w14:paraId="B3000000">
      <w:pPr>
        <w:ind/>
        <w:jc w:val="both"/>
        <w:rPr>
          <w:rFonts w:ascii="Times New Roman" w:hAnsi="Times New Roman"/>
          <w:sz w:val="27"/>
        </w:rPr>
      </w:pPr>
    </w:p>
    <w:p w14:paraId="B4000000">
      <w:pPr>
        <w:ind/>
        <w:jc w:val="both"/>
        <w:rPr>
          <w:rFonts w:ascii="Times New Roman" w:hAnsi="Times New Roman"/>
          <w:sz w:val="27"/>
        </w:rPr>
      </w:pPr>
    </w:p>
    <w:p w14:paraId="B5000000">
      <w:pPr>
        <w:ind/>
        <w:jc w:val="both"/>
        <w:rPr>
          <w:rFonts w:ascii="Times New Roman" w:hAnsi="Times New Roman"/>
          <w:sz w:val="27"/>
        </w:rPr>
      </w:pPr>
      <w:r>
        <w:rPr>
          <w:rFonts w:ascii="Times New Roman" w:hAnsi="Times New Roman"/>
          <w:b w:val="1"/>
          <w:sz w:val="27"/>
        </w:rPr>
        <w:t>Наблюдение 8.</w:t>
      </w:r>
      <w:r>
        <w:rPr>
          <w:rFonts w:ascii="Times New Roman" w:hAnsi="Times New Roman"/>
          <w:sz w:val="27"/>
        </w:rPr>
        <w:t xml:space="preserve"> На основе данной гистограммы можно наблюдать сильно скошенное распределение с большим количеством молодых людей. Низкая модальная возрастная группа 0-18 лет смещена вниз из-за выбросов, в то время как медиана и среднее значение смещены вверх из-за значительно меньшего количества людей старшего возраста. Возраста наиболее многочисленной группы сосредоточены в самой младшей категории, однако большинство людей находятся вблизи среднего возраста 39 лет.</w:t>
      </w:r>
    </w:p>
    <w:p w14:paraId="B6000000">
      <w:pPr>
        <w:ind/>
        <w:jc w:val="both"/>
        <w:rPr>
          <w:rFonts w:ascii="Times New Roman" w:hAnsi="Times New Roman"/>
          <w:sz w:val="27"/>
        </w:rPr>
      </w:pPr>
      <w:r>
        <w:br w:type="page"/>
      </w:r>
    </w:p>
    <w:p w14:paraId="B7000000">
      <w:pPr>
        <w:numPr>
          <w:numId w:val="3"/>
        </w:numPr>
        <w:ind/>
        <w:jc w:val="left"/>
      </w:pPr>
      <w:r>
        <w:rPr>
          <w:rFonts w:ascii="Times New Roman" w:hAnsi="Times New Roman"/>
          <w:b w:val="1"/>
          <w:sz w:val="30"/>
        </w:rPr>
        <w:t>Визуализировать пропорцию smokers и non-smokers.</w:t>
      </w:r>
    </w:p>
    <w:p w14:paraId="B8000000">
      <w:pPr>
        <w:ind/>
        <w:jc w:val="left"/>
      </w:pPr>
    </w:p>
    <w:p w14:paraId="B9000000">
      <w:r>
        <w:t xml:space="preserve">   smoker</w:t>
      </w:r>
    </w:p>
    <w:p w14:paraId="BA000000">
      <w:r>
        <w:t xml:space="preserve">   no     1064</w:t>
      </w:r>
    </w:p>
    <w:p w14:paraId="BB000000">
      <w:r>
        <w:t xml:space="preserve">   yes     274</w:t>
      </w:r>
    </w:p>
    <w:p w14:paraId="BC000000">
      <w:pPr>
        <w:ind/>
        <w:jc w:val="left"/>
      </w:pPr>
      <w:r>
        <w:t xml:space="preserve">   Name: count, dtype: int64</w:t>
      </w:r>
    </w:p>
    <w:p w14:paraId="BD000000">
      <w:pPr>
        <w:ind/>
        <w:jc w:val="left"/>
      </w:pPr>
    </w:p>
    <w:p w14:paraId="BE000000">
      <w:pPr>
        <w:ind/>
        <w:jc w:val="left"/>
      </w:pPr>
      <w:r>
        <w:drawing>
          <wp:inline>
            <wp:extent cx="5194300" cy="4940300"/>
            <wp:docPr hidden="false" id="10" name="Picture 10"/>
            <a:graphic>
              <a:graphicData uri="http://schemas.openxmlformats.org/drawingml/2006/picture">
                <pic:pic>
                  <pic:nvPicPr>
                    <pic:cNvPr hidden="false" id="11" name="Picture 11"/>
                    <pic:cNvPicPr preferRelativeResize="true"/>
                  </pic:nvPicPr>
                  <pic:blipFill>
                    <a:blip r:embed="rId7"/>
                    <a:stretch/>
                  </pic:blipFill>
                  <pic:spPr>
                    <a:xfrm flipH="false" flipV="false" rot="0">
                      <a:ext cx="5194300" cy="49403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BF000000">
      <w:pPr>
        <w:ind/>
        <w:jc w:val="left"/>
      </w:pPr>
    </w:p>
    <w:p w14:paraId="C0000000">
      <w:pPr>
        <w:spacing w:after="159"/>
        <w:ind/>
        <w:jc w:val="both"/>
      </w:pPr>
      <w:r>
        <w:rPr>
          <w:rFonts w:ascii="Times New Roman" w:hAnsi="Times New Roman"/>
          <w:b w:val="1"/>
          <w:sz w:val="27"/>
        </w:rPr>
        <w:t>Наблюдение 10.</w:t>
      </w:r>
      <w:r>
        <w:rPr>
          <w:rFonts w:ascii="Times New Roman" w:hAnsi="Times New Roman"/>
          <w:sz w:val="27"/>
        </w:rPr>
        <w:t xml:space="preserve"> Здесь мы можем увидеть что большинство людей в датасете – не курящие.</w:t>
      </w:r>
    </w:p>
    <w:p w14:paraId="C1000000">
      <w:pPr>
        <w:ind/>
        <w:jc w:val="left"/>
      </w:pPr>
      <w:r>
        <w:br w:type="page"/>
      </w:r>
    </w:p>
    <w:p w14:paraId="C2000000">
      <w:pPr>
        <w:numPr>
          <w:numId w:val="3"/>
        </w:numPr>
        <w:ind/>
        <w:jc w:val="left"/>
      </w:pPr>
      <w:r>
        <w:rPr>
          <w:rFonts w:ascii="Times New Roman" w:hAnsi="Times New Roman"/>
          <w:b w:val="1"/>
          <w:sz w:val="30"/>
        </w:rPr>
        <w:t>Визуализировать пропорцию children count в датасете.</w:t>
      </w:r>
    </w:p>
    <w:p w14:paraId="C3000000">
      <w:pPr>
        <w:ind/>
        <w:jc w:val="left"/>
      </w:pPr>
      <w:r>
        <w:drawing>
          <wp:inline>
            <wp:extent cx="6264274" cy="4783229"/>
            <wp:docPr hidden="false" id="12" name="Picture 12"/>
            <a:graphic>
              <a:graphicData uri="http://schemas.openxmlformats.org/drawingml/2006/picture">
                <pic:pic>
                  <pic:nvPicPr>
                    <pic:cNvPr hidden="false" id="13" name="Picture 13"/>
                    <pic:cNvPicPr preferRelativeResize="true"/>
                  </pic:nvPicPr>
                  <pic:blipFill>
                    <a:blip r:embed="rId8"/>
                    <a:stretch/>
                  </pic:blipFill>
                  <pic:spPr>
                    <a:xfrm flipH="false" flipV="false" rot="0">
                      <a:ext cx="6264274" cy="478322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C4000000">
      <w:pPr>
        <w:ind/>
        <w:jc w:val="left"/>
        <w:rPr>
          <w:sz w:val="27"/>
        </w:rPr>
      </w:pPr>
    </w:p>
    <w:p w14:paraId="C5000000">
      <w:pPr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 w:val="1"/>
          <w:sz w:val="27"/>
        </w:rPr>
        <w:t>Наблюдение 11.</w:t>
      </w:r>
      <w:r>
        <w:rPr>
          <w:rFonts w:ascii="Times New Roman" w:hAnsi="Times New Roman"/>
          <w:sz w:val="27"/>
        </w:rPr>
        <w:t xml:space="preserve"> Этот график показывает что большинство людей в датасете имеют 0 или 1 ребенка.</w:t>
      </w:r>
    </w:p>
    <w:p w14:paraId="C6000000">
      <w:pPr>
        <w:ind/>
        <w:jc w:val="both"/>
      </w:pPr>
      <w:r>
        <w:br w:type="page"/>
      </w:r>
    </w:p>
    <w:p w14:paraId="C7000000">
      <w:pPr>
        <w:numPr>
          <w:numId w:val="3"/>
        </w:numPr>
        <w:ind/>
        <w:jc w:val="left"/>
      </w:pPr>
      <w:r>
        <w:rPr>
          <w:rFonts w:ascii="Times New Roman" w:hAnsi="Times New Roman"/>
          <w:b w:val="1"/>
          <w:sz w:val="30"/>
        </w:rPr>
        <w:t>Как между собой соотносятся smoker и charges?</w:t>
      </w:r>
    </w:p>
    <w:p w14:paraId="C8000000"/>
    <w:p w14:paraId="C9000000">
      <w:r>
        <w:t xml:space="preserve">    The difference between charges mean and smoker mean: 23615.963533676637</w:t>
      </w:r>
    </w:p>
    <w:p w14:paraId="CA000000">
      <w:pPr>
        <w:ind/>
        <w:jc w:val="left"/>
      </w:pPr>
      <w:r>
        <w:t xml:space="preserve">    The difference between charges median and smoker median: 27110.943150000006</w:t>
      </w:r>
    </w:p>
    <w:p w14:paraId="CB000000">
      <w:pPr>
        <w:ind/>
        <w:jc w:val="left"/>
      </w:pPr>
    </w:p>
    <w:p w14:paraId="CC000000">
      <w:pPr>
        <w:ind/>
        <w:jc w:val="left"/>
      </w:pPr>
      <w:r>
        <w:drawing>
          <wp:inline>
            <wp:extent cx="6264274" cy="4594510"/>
            <wp:docPr hidden="false" id="14" name="Picture 14"/>
            <a:graphic>
              <a:graphicData uri="http://schemas.openxmlformats.org/drawingml/2006/picture">
                <pic:pic>
                  <pic:nvPicPr>
                    <pic:cNvPr hidden="false" id="15" name="Picture 15"/>
                    <pic:cNvPicPr preferRelativeResize="true"/>
                  </pic:nvPicPr>
                  <pic:blipFill>
                    <a:blip r:embed="rId9"/>
                    <a:stretch/>
                  </pic:blipFill>
                  <pic:spPr>
                    <a:xfrm flipH="false" flipV="false" rot="0">
                      <a:ext cx="6264274" cy="459451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>
          <wp:inline>
            <wp:extent cx="6264274" cy="5020804"/>
            <wp:docPr hidden="false" id="16" name="Picture 16"/>
            <a:graphic>
              <a:graphicData uri="http://schemas.openxmlformats.org/drawingml/2006/picture">
                <pic:pic>
                  <pic:nvPicPr>
                    <pic:cNvPr hidden="false" id="17" name="Picture 17"/>
                    <pic:cNvPicPr preferRelativeResize="true"/>
                  </pic:nvPicPr>
                  <pic:blipFill>
                    <a:blip r:embed="rId10"/>
                    <a:stretch/>
                  </pic:blipFill>
                  <pic:spPr>
                    <a:xfrm flipH="false" flipV="false" rot="0">
                      <a:ext cx="6264274" cy="50208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CD000000">
      <w:pPr>
        <w:ind/>
        <w:jc w:val="left"/>
      </w:pPr>
    </w:p>
    <w:p w14:paraId="CE000000">
      <w:pPr>
        <w:spacing w:after="159"/>
        <w:ind/>
        <w:jc w:val="both"/>
        <w:rPr>
          <w:rFonts w:ascii="Times New Roman" w:hAnsi="Times New Roman"/>
          <w:sz w:val="27"/>
        </w:rPr>
      </w:pPr>
      <w:r>
        <w:rPr>
          <w:rFonts w:ascii="Times New Roman" w:hAnsi="Times New Roman"/>
          <w:b w:val="1"/>
          <w:sz w:val="27"/>
        </w:rPr>
        <w:t>Наблюдение 12.</w:t>
      </w:r>
      <w:r>
        <w:rPr>
          <w:rFonts w:ascii="Times New Roman" w:hAnsi="Times New Roman"/>
          <w:sz w:val="27"/>
        </w:rPr>
        <w:t xml:space="preserve"> Разница является слишком значительной, следовательно, мы можем предположить, что курение существенно увеличивает стоимость страховки.</w:t>
      </w:r>
    </w:p>
    <w:p w14:paraId="CF000000">
      <w:pPr>
        <w:spacing w:after="159"/>
        <w:ind/>
        <w:jc w:val="both"/>
      </w:pPr>
      <w:r>
        <w:rPr>
          <w:rFonts w:ascii="Times New Roman" w:hAnsi="Times New Roman"/>
          <w:b w:val="1"/>
          <w:sz w:val="27"/>
        </w:rPr>
        <w:t>Наблюдение 13.</w:t>
      </w:r>
      <w:r>
        <w:rPr>
          <w:rFonts w:ascii="Times New Roman" w:hAnsi="Times New Roman"/>
          <w:sz w:val="27"/>
        </w:rPr>
        <w:t xml:space="preserve"> Наши boxplot и гистограмма показывают, что между этими категориями отсутствует перекрытие, поэтому мы можем сделать вывод, что курение значительно увеличивает стоимость страховых выплат.</w:t>
      </w:r>
      <w:r>
        <w:br w:type="page"/>
      </w:r>
    </w:p>
    <w:p w14:paraId="D0000000">
      <w:pPr>
        <w:numPr>
          <w:numId w:val="3"/>
        </w:numPr>
        <w:ind/>
        <w:jc w:val="left"/>
        <w:rPr>
          <w:rFonts w:ascii="Times New Roman" w:hAnsi="Times New Roman"/>
          <w:b w:val="1"/>
          <w:sz w:val="30"/>
        </w:rPr>
      </w:pPr>
      <w:r>
        <w:rPr>
          <w:rFonts w:ascii="Times New Roman" w:hAnsi="Times New Roman"/>
          <w:b w:val="1"/>
          <w:sz w:val="30"/>
        </w:rPr>
        <w:t>Как между собой соотносятся sex и charges?</w:t>
      </w:r>
    </w:p>
    <w:p w14:paraId="D1000000">
      <w:pPr>
        <w:ind/>
        <w:jc w:val="left"/>
      </w:pPr>
    </w:p>
    <w:p w14:paraId="D2000000">
      <w:r>
        <w:t>The difference between male mean and female mean: 1387.1723338865468</w:t>
      </w:r>
    </w:p>
    <w:p w14:paraId="D3000000">
      <w:pPr>
        <w:ind/>
        <w:jc w:val="left"/>
      </w:pPr>
      <w:r>
        <w:t>The difference between male median and female median: -43.34674999999879</w:t>
      </w:r>
    </w:p>
    <w:p w14:paraId="D4000000">
      <w:pPr>
        <w:ind/>
        <w:jc w:val="left"/>
      </w:pPr>
    </w:p>
    <w:p w14:paraId="D5000000">
      <w:pPr>
        <w:ind/>
        <w:jc w:val="left"/>
      </w:pPr>
      <w:r>
        <w:drawing>
          <wp:inline>
            <wp:extent cx="6264274" cy="4594510"/>
            <wp:docPr hidden="false" id="18" name="Picture 18"/>
            <a:graphic>
              <a:graphicData uri="http://schemas.openxmlformats.org/drawingml/2006/picture">
                <pic:pic>
                  <pic:nvPicPr>
                    <pic:cNvPr hidden="false" id="19" name="Picture 19"/>
                    <pic:cNvPicPr preferRelativeResize="true"/>
                  </pic:nvPicPr>
                  <pic:blipFill>
                    <a:blip r:embed="rId11"/>
                    <a:stretch/>
                  </pic:blipFill>
                  <pic:spPr>
                    <a:xfrm flipH="false" flipV="false" rot="0">
                      <a:ext cx="6264274" cy="459451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D6000000">
      <w:pPr>
        <w:ind/>
        <w:jc w:val="left"/>
      </w:pPr>
      <w:r>
        <w:drawing>
          <wp:inline>
            <wp:extent cx="6264274" cy="5020804"/>
            <wp:docPr hidden="false" id="20" name="Picture 20"/>
            <a:graphic>
              <a:graphicData uri="http://schemas.openxmlformats.org/drawingml/2006/picture">
                <pic:pic>
                  <pic:nvPicPr>
                    <pic:cNvPr hidden="false" id="21" name="Picture 21"/>
                    <pic:cNvPicPr preferRelativeResize="true"/>
                  </pic:nvPicPr>
                  <pic:blipFill>
                    <a:blip r:embed="rId12"/>
                    <a:stretch/>
                  </pic:blipFill>
                  <pic:spPr>
                    <a:xfrm flipH="false" flipV="false" rot="0">
                      <a:ext cx="6264274" cy="50208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D7000000">
      <w:pPr>
        <w:ind/>
        <w:jc w:val="left"/>
      </w:pPr>
    </w:p>
    <w:p w14:paraId="D8000000">
      <w:pPr>
        <w:ind/>
        <w:jc w:val="left"/>
      </w:pPr>
      <w:r>
        <w:rPr>
          <w:rFonts w:ascii="Times New Roman" w:hAnsi="Times New Roman"/>
          <w:b w:val="1"/>
          <w:sz w:val="27"/>
        </w:rPr>
        <w:t>Наблюдение 14.</w:t>
      </w:r>
      <w:r>
        <w:rPr>
          <w:rFonts w:ascii="Times New Roman" w:hAnsi="Times New Roman"/>
          <w:sz w:val="27"/>
        </w:rPr>
        <w:t xml:space="preserve"> Разница в между средними значениями, медианами и графики показывают что между мужчинами и женщинами не существует явной разницы в стоимости страхования. </w:t>
      </w:r>
      <w:r>
        <w:br w:type="page"/>
      </w:r>
    </w:p>
    <w:p w14:paraId="D9000000">
      <w:pPr>
        <w:numPr>
          <w:numId w:val="3"/>
        </w:numPr>
        <w:ind/>
        <w:jc w:val="left"/>
        <w:rPr>
          <w:rFonts w:ascii="Times New Roman" w:hAnsi="Times New Roman"/>
          <w:b w:val="1"/>
          <w:sz w:val="30"/>
        </w:rPr>
      </w:pPr>
      <w:r>
        <w:rPr>
          <w:rFonts w:ascii="Times New Roman" w:hAnsi="Times New Roman"/>
          <w:b w:val="1"/>
          <w:sz w:val="30"/>
        </w:rPr>
        <w:t>Как между собой соотносятся region и сharges?</w:t>
      </w:r>
    </w:p>
    <w:p w14:paraId="DA000000">
      <w:pPr>
        <w:ind/>
        <w:jc w:val="left"/>
        <w:rPr>
          <w:rFonts w:ascii="Times New Roman" w:hAnsi="Times New Roman"/>
          <w:b w:val="1"/>
          <w:sz w:val="30"/>
        </w:rPr>
      </w:pPr>
    </w:p>
    <w:p w14:paraId="DB000000">
      <w:pPr>
        <w:ind/>
        <w:jc w:val="left"/>
        <w:rPr>
          <w:rFonts w:ascii="Times New Roman" w:hAnsi="Times New Roman"/>
          <w:b w:val="1"/>
          <w:sz w:val="27"/>
        </w:rPr>
      </w:pPr>
      <w:r>
        <w:rPr>
          <w:rFonts w:ascii="Times New Roman" w:hAnsi="Times New Roman"/>
          <w:b w:val="1"/>
          <w:sz w:val="27"/>
        </w:rPr>
        <w:drawing>
          <wp:inline>
            <wp:extent cx="6264274" cy="4594510"/>
            <wp:docPr hidden="false" id="22" name="Picture 22"/>
            <a:graphic>
              <a:graphicData uri="http://schemas.openxmlformats.org/drawingml/2006/picture">
                <pic:pic>
                  <pic:nvPicPr>
                    <pic:cNvPr hidden="false" id="23" name="Picture 23"/>
                    <pic:cNvPicPr preferRelativeResize="true"/>
                  </pic:nvPicPr>
                  <pic:blipFill>
                    <a:blip r:embed="rId13"/>
                    <a:stretch/>
                  </pic:blipFill>
                  <pic:spPr>
                    <a:xfrm flipH="false" flipV="false" rot="0">
                      <a:ext cx="6264274" cy="459451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DC000000">
      <w:pPr>
        <w:spacing w:after="159" w:before="240"/>
        <w:ind w:firstLine="0" w:left="0" w:right="0"/>
        <w:jc w:val="left"/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</w:pP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drawing>
          <wp:inline>
            <wp:extent cx="6264274" cy="4098475"/>
            <wp:docPr hidden="false" id="24" name="Picture 24"/>
            <a:graphic>
              <a:graphicData uri="http://schemas.openxmlformats.org/drawingml/2006/picture">
                <pic:pic>
                  <pic:nvPicPr>
                    <pic:cNvPr hidden="false" id="25" name="Picture 25"/>
                    <pic:cNvPicPr preferRelativeResize="true"/>
                  </pic:nvPicPr>
                  <pic:blipFill>
                    <a:blip r:embed="rId14"/>
                    <a:stretch/>
                  </pic:blipFill>
                  <pic:spPr>
                    <a:xfrm flipH="false" flipV="false" rot="0">
                      <a:ext cx="6264274" cy="409847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DD000000">
      <w:pPr>
        <w:pStyle w:val="Style_2"/>
        <w:rPr>
          <w:rFonts w:ascii="Times New Roman" w:hAnsi="Times New Roman"/>
          <w:sz w:val="27"/>
        </w:rPr>
      </w:pPr>
      <w:r>
        <w:rPr>
          <w:rFonts w:ascii="Times New Roman" w:hAnsi="Times New Roman"/>
          <w:b w:val="1"/>
          <w:sz w:val="27"/>
        </w:rPr>
        <w:t>Наблюдение 15.</w:t>
      </w:r>
      <w:r>
        <w:rPr>
          <w:rFonts w:ascii="Times New Roman" w:hAnsi="Times New Roman"/>
          <w:sz w:val="27"/>
        </w:rPr>
        <w:t xml:space="preserve"> Из этих двух графиков видно, что разница между регионами не имеет значительного влияния на повышение стоимости страховых выплат.</w:t>
      </w:r>
      <w:r>
        <w:rPr>
          <w:rFonts w:ascii="Times New Roman" w:hAnsi="Times New Roman"/>
          <w:sz w:val="27"/>
        </w:rPr>
        <w:br w:type="page"/>
      </w:r>
      <w:r>
        <w:rPr>
          <w:rFonts w:ascii="Times New Roman" w:hAnsi="Times New Roman"/>
          <w:sz w:val="27"/>
        </w:rPr>
        <w:t>1.5. Линейная регрессия. Множественная линейная регрессия.</w:t>
      </w:r>
    </w:p>
    <w:p w14:paraId="DE000000">
      <w:pPr>
        <w:pStyle w:val="Style_2"/>
      </w:pPr>
    </w:p>
    <w:sectPr>
      <w:headerReference r:id="rId1" w:type="first"/>
      <w:footerReference r:id="rId2" w:type="default"/>
      <w:pgSz w:h="16838" w:orient="portrait" w:w="11906"/>
      <w:pgMar w:bottom="1134" w:left="1304" w:right="737" w:top="1134"/>
      <w:pgNumType w:fmt="decimal" w:start="1"/>
      <w:titlePg/>
    </w:sectPr>
  </w:body>
</w:document>
</file>

<file path=word/fontTable.xml><?xml version="1.0" encoding="utf-8"?>
<w:fonts xmlns:w="http://schemas.openxmlformats.org/wordprocessingml/2006/main">
  <w:font w:name="Cambria">
    <w:panose1 w:val="02040503050406030204"/>
    <w:charset w:val="00"/>
    <w:family w:val="auto"/>
    <w:pitch w:val="variable"/>
    <w:sig w:csb0="0000019F" w:csb1="00000000" w:usb0="E00002FF" w:usb1="400004FF" w:usb2="00000000" w:usb3="00000000"/>
  </w:font>
  <w:font w:name="ＭＳ 明朝">
    <w:panose1 w:val="00000000000000000000"/>
    <w:charset w:val="80"/>
    <w:family w:val="roman"/>
    <w:notTrueType/>
    <w:pitch w:val="fixed"/>
    <w:sig w:csb0="00020000" w:csb1="00000000" w:usb0="00000001" w:usb1="08070000" w:usb2="00000010" w:usb3="00000000"/>
  </w:font>
  <w:font w:name="Times New Roman">
    <w:panose1 w:val="02020603050405020304"/>
    <w:charset w:val="00"/>
    <w:family w:val="auto"/>
    <w:pitch w:val="variable"/>
    <w:sig w:csb0="00000001" w:csb1="00000000" w:usb0="00000003" w:usb1="00000000" w:usb2="00000000" w:usb3="00000000"/>
  </w:font>
  <w:font w:name="Calibri">
    <w:panose1 w:val="020F0502020204030204"/>
    <w:charset w:val="00"/>
    <w:family w:val="auto"/>
    <w:pitch w:val="variable"/>
    <w:sig w:csb0="0000019F" w:csb1="00000000" w:usb0="E10002FF" w:usb1="4000ACFF" w:usb2="00000009" w:usb3="00000000"/>
  </w:font>
  <w:font w:name="ＭＳ ゴシック">
    <w:panose1 w:val="00000000000000000000"/>
    <w:charset w:val="80"/>
    <w:family w:val="modern"/>
    <w:notTrueType/>
    <w:pitch w:val="fixed"/>
    <w:sig w:csb0="00020000" w:csb1="00000000" w:usb0="00000001" w:usb1="08070000" w:usb2="00000010" w:usb3="00000000"/>
  </w:font>
  <w:font w:name="Consolas">
    <w:panose1 w:val="020B0609020204030204"/>
    <w:charset w:val="00"/>
    <w:family w:val="auto"/>
    <w:pitch w:val="variable"/>
    <w:sig w:csb0="0000019F" w:csb1="00000000" w:usb0="E10002FF" w:usb1="4000FCFF" w:usb2="00000009" w:usb3="00000000"/>
  </w:font>
  <w:font w:name="Arial">
    <w:panose1 w:val="020B0604020202020204"/>
    <w:charset w:val="00"/>
    <w:family w:val="auto"/>
    <w:pitch w:val="variable"/>
    <w:sig w:csb0="00000001" w:csb1="00000000" w:usb0="00000003" w:usb1="00000000" w:usb2="00000000" w:usb3="00000000"/>
  </w:font>
</w:fonts>
</file>

<file path=word/footer2.xml><?xml version="1.0" encoding="utf-8"?>
<w:ftr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p w14:paraId="02000000">
    <w:pPr>
      <w:pStyle w:val="Style_1"/>
      <w:ind/>
      <w:jc w:val="center"/>
    </w:pPr>
    <w:r>
      <mc:AlternateContent>
        <mc:Choice Requires="wps">
          <w:drawing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>
            <wp:anchor allowOverlap="true" behindDoc="false" layoutInCell="true" locked="false" relativeHeight="251658240" simplePos="false">
              <wp:simplePos x="0" y="0"/>
              <wp:positionH relativeFrom="insideMargin">
                <wp:align>center</wp:align>
              </wp:positionH>
              <wp:positionV relativeFrom="paragraph">
                <wp:posOffset>0</wp:posOffset>
              </wp:positionV>
              <wp:extent cx="0" cy="0"/>
              <wp:wrapSquare wrapText="bothSides"/>
              <wp:docPr hidden="false" id="1" name="Picture 1"/>
              <a:graphic>
                <a:graphicData uri="http://schemas.microsoft.com/office/word/2010/wordprocessingShape">
                  <wps:wsp>
                    <wps:cNvSpPr txBox="true"/>
                    <wps:spPr>
                      <a:xfrm flipH="false" flipV="false" rot="0">
                        <a:off x="0" y="0"/>
                        <a:ext cx="0" cy="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3000000">
                          <w:pPr>
                            <w:pStyle w:val="Style_2"/>
                            <w:rPr>
                              <w:color w:val="000000"/>
                              <w:spacing w:val="0"/>
                            </w:rPr>
                          </w:pPr>
                          <w:r>
                            <w:rPr>
                              <w:color w:val="000000"/>
                              <w:spacing w:val="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0"/>
                            </w:rPr>
                            <w:instrText>PAGE \* Arabic</w:instrText>
                          </w:r>
                          <w:r>
                            <w:rPr>
                              <w:color w:val="000000"/>
                              <w:spacing w:val="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0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0"/>
                            </w:rPr>
                            <w:fldChar w:fldCharType="end"/>
                          </w:r>
                        </w:p>
                      </w:txbxContent>
                    </wps:txbx>
                    <wps:bodyPr anchor="ctr" anchorCtr="true" bIns="45720" lIns="91440" rIns="91440" tIns="45720" vert="horz" wrap="square">
                      <a:spAutoFit/>
                    </wps:bodyPr>
                  </wps:wsp>
                </a:graphicData>
              </a:graphic>
            </wp:anchor>
          </w:drawing>
        </mc:Choice>
        <mc:Fallback>
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</mc:Fallback>
      </mc:AlternateContent>
    </w:r>
  </w:p>
</w:ftr>
</file>

<file path=word/header1.xml><?xml version="1.0" encoding="utf-8"?>
<w:hdr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p w14:paraId="01000000">
    <w:pPr>
      <w:pStyle w:val="Style_1"/>
    </w:pPr>
  </w:p>
</w:hdr>
</file>

<file path=word/numbering.xml><?xml version="1.0" encoding="utf-8"?>
<w:numbering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abstractNum w:abstractNumId="0">
    <w:lvl w:ilvl="0">
      <w:numFmt w:val="bullet"/>
      <w:lvlText w:val=""/>
      <w:pPr>
        <w:ind w:hanging="360" w:left="720"/>
      </w:pPr>
      <w:rPr>
        <w:rFonts w:ascii="Symbol" w:hAnsi="Symbol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"/>
      <w:pPr>
        <w:ind w:hanging="360" w:left="2880"/>
      </w:pPr>
      <w:rPr>
        <w:rFonts w:ascii="Symbol" w:hAnsi="Symbol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"/>
      <w:pPr>
        <w:ind w:hanging="360" w:left="5040"/>
      </w:pPr>
      <w:rPr>
        <w:rFonts w:ascii="Symbol" w:hAnsi="Symbol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1">
    <w:lvl w:ilvl="0">
      <w:start w:val="1"/>
      <w:numFmt w:val="decimal"/>
      <w:lvlText w:val="%1."/>
      <w:pPr>
        <w:ind w:hanging="360" w:left="360"/>
      </w:pPr>
    </w:lvl>
    <w:lvl w:ilvl="1">
      <w:start w:val="1"/>
      <w:numFmt w:val="decimal"/>
      <w:lvlText w:val="%1.%2."/>
      <w:pPr>
        <w:ind w:hanging="430" w:left="790"/>
      </w:pPr>
    </w:lvl>
    <w:lvl w:ilvl="2">
      <w:start w:val="1"/>
      <w:numFmt w:val="decimal"/>
      <w:lvlText w:val="%1.%2.%3."/>
      <w:pPr>
        <w:ind w:hanging="505" w:left="1225"/>
      </w:pPr>
    </w:lvl>
    <w:lvl w:ilvl="3">
      <w:start w:val="1"/>
      <w:numFmt w:val="decimal"/>
      <w:lvlText w:val="%1.%2.%3.%4."/>
      <w:pPr>
        <w:ind w:hanging="650" w:left="1730"/>
      </w:pPr>
    </w:lvl>
    <w:lvl w:ilvl="4">
      <w:start w:val="1"/>
      <w:numFmt w:val="decimal"/>
      <w:lvlText w:val="%1.%2.%3.%4.%5."/>
      <w:pPr>
        <w:ind w:hanging="790" w:left="2230"/>
      </w:pPr>
    </w:lvl>
    <w:lvl w:ilvl="5">
      <w:start w:val="1"/>
      <w:numFmt w:val="decimal"/>
      <w:lvlText w:val="%1.%2.%3.%4.%5.%6."/>
      <w:pPr>
        <w:ind w:hanging="935" w:left="2735"/>
      </w:pPr>
    </w:lvl>
    <w:lvl w:ilvl="6">
      <w:start w:val="1"/>
      <w:numFmt w:val="decimal"/>
      <w:lvlText w:val="%1.%2.%3.%4.%5.%6.%7."/>
      <w:pPr>
        <w:ind w:hanging="1080" w:left="3240"/>
      </w:pPr>
    </w:lvl>
    <w:lvl w:ilvl="7">
      <w:start w:val="1"/>
      <w:numFmt w:val="decimal"/>
      <w:lvlText w:val="%1.%2.%3.%4.%5.%6.%7.%8."/>
      <w:pPr>
        <w:ind w:hanging="1225" w:left="3745"/>
      </w:pPr>
    </w:lvl>
    <w:lvl w:ilvl="8">
      <w:start w:val="1"/>
      <w:numFmt w:val="decimal"/>
      <w:lvlText w:val="%1.%2.%3.%4.%5.%6.%7.%8.%9."/>
      <w:pPr>
        <w:ind w:hanging="1440" w:left="4320"/>
      </w:pPr>
    </w:lvl>
  </w:abstractNum>
  <w:abstractNum w:abstractNumId="2">
    <w:lvl w:ilvl="0">
      <w:start w:val="1"/>
      <w:numFmt w:val="decimal"/>
      <w:lvlText w:val="%1."/>
      <w:pPr>
        <w:ind w:hanging="360" w:left="360"/>
      </w:pPr>
    </w:lvl>
    <w:lvl w:ilvl="1">
      <w:start w:val="1"/>
      <w:numFmt w:val="decimal"/>
      <w:lvlText w:val="%1.%2."/>
      <w:pPr>
        <w:ind w:hanging="430" w:left="790"/>
      </w:pPr>
    </w:lvl>
    <w:lvl w:ilvl="2">
      <w:start w:val="1"/>
      <w:numFmt w:val="decimal"/>
      <w:lvlText w:val="%1.%2.%3."/>
      <w:pPr>
        <w:ind w:hanging="505" w:left="1225"/>
      </w:pPr>
    </w:lvl>
    <w:lvl w:ilvl="3">
      <w:start w:val="1"/>
      <w:numFmt w:val="decimal"/>
      <w:lvlText w:val="%1.%2.%3.%4."/>
      <w:pPr>
        <w:ind w:hanging="650" w:left="1730"/>
      </w:pPr>
    </w:lvl>
    <w:lvl w:ilvl="4">
      <w:start w:val="1"/>
      <w:numFmt w:val="decimal"/>
      <w:lvlText w:val="%1.%2.%3.%4.%5."/>
      <w:pPr>
        <w:ind w:hanging="790" w:left="2230"/>
      </w:pPr>
    </w:lvl>
    <w:lvl w:ilvl="5">
      <w:start w:val="1"/>
      <w:numFmt w:val="decimal"/>
      <w:lvlText w:val="%1.%2.%3.%4.%5.%6."/>
      <w:pPr>
        <w:ind w:hanging="935" w:left="2735"/>
      </w:pPr>
    </w:lvl>
    <w:lvl w:ilvl="6">
      <w:start w:val="1"/>
      <w:numFmt w:val="decimal"/>
      <w:lvlText w:val="%1.%2.%3.%4.%5.%6.%7."/>
      <w:pPr>
        <w:ind w:hanging="1080" w:left="3240"/>
      </w:pPr>
    </w:lvl>
    <w:lvl w:ilvl="7">
      <w:start w:val="1"/>
      <w:numFmt w:val="decimal"/>
      <w:lvlText w:val="%1.%2.%3.%4.%5.%6.%7.%8."/>
      <w:pPr>
        <w:ind w:hanging="1225" w:left="3745"/>
      </w:pPr>
    </w:lvl>
    <w:lvl w:ilvl="8">
      <w:start w:val="1"/>
      <w:numFmt w:val="decimal"/>
      <w:lvlText w:val="%1.%2.%3.%4.%5.%6.%7.%8.%9."/>
      <w:pPr>
        <w:ind w:hanging="1440" w:left="43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efaultTabStop w:val="720"/>
  <w:compat>
    <w:compatSetting w:name="compatibilityMode" w:uri="http://schemas.microsoft.com/office/word" w:val="15"/>
  </w:compat>
  <w:clrSchemeMapping w:accent1="accent1" w:accent2="accent2" w:accent3="accent3" w:accent4="accent4" w:accent5="accent5" w:accent6="accent6" w:bg1="light1" w:bg2="light2" w:followedHyperlink="followedHyperlink" w:hyperlink="hyperlink" w:t1="dark1" w:t2="dark2"/>
</w:settings>
</file>

<file path=word/styles.xml><?xml version="1.0" encoding="utf-8"?>
<w:style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ocDefaults>
    <w:rPrDefault>
      <w:rPr>
        <w:rFonts w:ascii="XO Thames" w:hAnsi="XO Thames"/>
        <w:color w:val="000000"/>
        <w:spacing w:val="0"/>
        <w:sz w:val="24"/>
      </w:rPr>
    </w:rPrDefault>
    <w:pPrDefault>
      <w:pPr>
        <w:spacing w:after="0" w:before="0" w:line="240" w:lineRule="auto"/>
        <w:ind w:firstLine="0" w:left="0" w:right="0"/>
        <w:jc w:val="left"/>
      </w:pPr>
    </w:pPrDefault>
  </w:docDefaults>
  <w:latentStyles w:count="25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semiHidden="0" w:uiPriority="9" w:unhideWhenUsed="0"/>
    <w:lsdException w:name="heading 3" w:qFormat="1" w:semiHidden="0" w:uiPriority="9" w:unhideWhenUsed="0"/>
    <w:lsdException w:name="heading 4" w:qFormat="1" w:semiHidden="0" w:uiPriority="9" w:unhideWhenUsed="0"/>
    <w:lsdException w:name="heading 5" w:qFormat="1" w:semiHidden="0" w:uiPriority="9" w:unhideWhenUsed="0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Title" w:qFormat="1" w:semiHidden="0" w:uiPriority="10" w:unhideWhenUsed="0"/>
    <w:lsdException w:name="Subtitle" w:qFormat="1" w:semiHidden="0" w:uiPriority="11" w:unhideWhenUsed="0"/>
    <w:lsdException w:name="Header and Footer" w:qFormat="0" w:semiHidden="0" w:unhideWhenUsed="0"/>
    <w:lsdException w:name="Footnote" w:qFormat="0" w:semiHidden="0" w:unhideWhenUsed="0"/>
    <w:lsdException w:name="Endnote" w:qFormat="0" w:semiHidden="0" w:unhideWhenUsed="0"/>
    <w:lsdException w:name="toc 1" w:qFormat="0" w:semiHidden="0" w:uiPriority="39" w:unhideWhenUsed="0"/>
    <w:lsdException w:name="toc 2" w:qFormat="0" w:semiHidden="0" w:uiPriority="39" w:unhideWhenUsed="0"/>
    <w:lsdException w:name="toc 3" w:qFormat="0" w:semiHidden="0" w:uiPriority="39" w:unhideWhenUsed="0"/>
    <w:lsdException w:name="toc 4" w:qFormat="0" w:semiHidden="0" w:uiPriority="39" w:unhideWhenUsed="0"/>
    <w:lsdException w:name="toc 5" w:qFormat="0" w:semiHidden="0" w:uiPriority="39" w:unhideWhenUsed="0"/>
    <w:lsdException w:name="toc 6" w:qFormat="0" w:semiHidden="0" w:uiPriority="39" w:unhideWhenUsed="0"/>
    <w:lsdException w:name="toc 7" w:qFormat="0" w:semiHidden="0" w:uiPriority="39" w:unhideWhenUsed="0"/>
    <w:lsdException w:name="toc 8" w:qFormat="0" w:semiHidden="0" w:uiPriority="39" w:unhideWhenUsed="0"/>
    <w:lsdException w:name="toc 9" w:qFormat="0" w:semiHidden="0" w:uiPriority="39" w:unhideWhenUsed="0"/>
    <w:lsdException w:name="Hyperlink" w:qFormat="0" w:semiHidden="0" w:unhideWhenUsed="0"/>
  </w:latentStyles>
  <w:style w:default="1" w:styleId="Style_2" w:type="paragraph">
    <w:name w:val="Normal"/>
    <w:link w:val="Style_2_ch"/>
    <w:uiPriority w:val="0"/>
    <w:qFormat/>
    <w:pPr>
      <w:spacing w:line="240" w:lineRule="auto"/>
      <w:ind/>
      <w:jc w:val="both"/>
    </w:pPr>
    <w:rPr>
      <w:rFonts w:ascii="XO Thames" w:hAnsi="XO Thames"/>
      <w:sz w:val="28"/>
    </w:rPr>
  </w:style>
  <w:style w:default="1" w:styleId="Style_2_ch" w:type="character">
    <w:name w:val="Normal"/>
    <w:link w:val="Style_2"/>
    <w:rPr>
      <w:rFonts w:ascii="XO Thames" w:hAnsi="XO Thames"/>
      <w:sz w:val="28"/>
    </w:rPr>
  </w:style>
  <w:style w:styleId="Style_4" w:type="paragraph">
    <w:name w:val="toc 2"/>
    <w:next w:val="Style_2"/>
    <w:link w:val="Style_4_ch"/>
    <w:uiPriority w:val="39"/>
    <w:pPr>
      <w:ind w:firstLine="0" w:left="200"/>
      <w:jc w:val="left"/>
    </w:pPr>
    <w:rPr>
      <w:rFonts w:ascii="XO Thames" w:hAnsi="XO Thames"/>
      <w:sz w:val="28"/>
    </w:rPr>
  </w:style>
  <w:style w:styleId="Style_4_ch" w:type="character">
    <w:name w:val="toc 2"/>
    <w:link w:val="Style_4"/>
    <w:rPr>
      <w:rFonts w:ascii="XO Thames" w:hAnsi="XO Thames"/>
      <w:sz w:val="28"/>
    </w:rPr>
  </w:style>
  <w:style w:styleId="Style_7" w:type="paragraph">
    <w:name w:val="toc 4"/>
    <w:next w:val="Style_2"/>
    <w:link w:val="Style_7_ch"/>
    <w:uiPriority w:val="39"/>
    <w:pPr>
      <w:ind w:firstLine="0" w:left="600"/>
      <w:jc w:val="left"/>
    </w:pPr>
    <w:rPr>
      <w:rFonts w:ascii="XO Thames" w:hAnsi="XO Thames"/>
      <w:sz w:val="28"/>
    </w:rPr>
  </w:style>
  <w:style w:styleId="Style_7_ch" w:type="character">
    <w:name w:val="toc 4"/>
    <w:link w:val="Style_7"/>
    <w:rPr>
      <w:rFonts w:ascii="XO Thames" w:hAnsi="XO Thames"/>
      <w:sz w:val="28"/>
    </w:rPr>
  </w:style>
  <w:style w:styleId="Style_8" w:type="paragraph">
    <w:name w:val="toc 6"/>
    <w:next w:val="Style_2"/>
    <w:link w:val="Style_8_ch"/>
    <w:uiPriority w:val="39"/>
    <w:pPr>
      <w:ind w:firstLine="0" w:left="1000"/>
      <w:jc w:val="left"/>
    </w:pPr>
    <w:rPr>
      <w:rFonts w:ascii="XO Thames" w:hAnsi="XO Thames"/>
      <w:sz w:val="28"/>
    </w:rPr>
  </w:style>
  <w:style w:styleId="Style_8_ch" w:type="character">
    <w:name w:val="toc 6"/>
    <w:link w:val="Style_8"/>
    <w:rPr>
      <w:rFonts w:ascii="XO Thames" w:hAnsi="XO Thames"/>
      <w:sz w:val="28"/>
    </w:rPr>
  </w:style>
  <w:style w:styleId="Style_9" w:type="paragraph">
    <w:name w:val="toc 7"/>
    <w:next w:val="Style_2"/>
    <w:link w:val="Style_9_ch"/>
    <w:uiPriority w:val="39"/>
    <w:pPr>
      <w:ind w:firstLine="0" w:left="1200"/>
      <w:jc w:val="left"/>
    </w:pPr>
    <w:rPr>
      <w:rFonts w:ascii="XO Thames" w:hAnsi="XO Thames"/>
      <w:sz w:val="28"/>
    </w:rPr>
  </w:style>
  <w:style w:styleId="Style_9_ch" w:type="character">
    <w:name w:val="toc 7"/>
    <w:link w:val="Style_9"/>
    <w:rPr>
      <w:rFonts w:ascii="XO Thames" w:hAnsi="XO Thames"/>
      <w:sz w:val="28"/>
    </w:rPr>
  </w:style>
  <w:style w:styleId="Style_10" w:type="paragraph">
    <w:name w:val="Endnote"/>
    <w:link w:val="Style_10_ch"/>
    <w:pPr>
      <w:ind w:firstLine="851" w:left="0"/>
      <w:jc w:val="both"/>
    </w:pPr>
    <w:rPr>
      <w:rFonts w:ascii="XO Thames" w:hAnsi="XO Thames"/>
      <w:sz w:val="22"/>
    </w:rPr>
  </w:style>
  <w:style w:styleId="Style_10_ch" w:type="character">
    <w:name w:val="Endnote"/>
    <w:link w:val="Style_10"/>
    <w:rPr>
      <w:rFonts w:ascii="XO Thames" w:hAnsi="XO Thames"/>
      <w:sz w:val="22"/>
    </w:rPr>
  </w:style>
  <w:style w:styleId="Style_11" w:type="paragraph">
    <w:name w:val="heading 3"/>
    <w:next w:val="Style_2"/>
    <w:link w:val="Style_11_ch"/>
    <w:uiPriority w:val="9"/>
    <w:qFormat/>
    <w:pPr>
      <w:spacing w:after="120" w:before="120"/>
      <w:ind/>
      <w:jc w:val="both"/>
      <w:outlineLvl w:val="2"/>
    </w:pPr>
    <w:rPr>
      <w:rFonts w:ascii="XO Thames" w:hAnsi="XO Thames"/>
      <w:b w:val="1"/>
      <w:sz w:val="26"/>
    </w:rPr>
  </w:style>
  <w:style w:styleId="Style_11_ch" w:type="character">
    <w:name w:val="heading 3"/>
    <w:link w:val="Style_11"/>
    <w:rPr>
      <w:rFonts w:ascii="XO Thames" w:hAnsi="XO Thames"/>
      <w:b w:val="1"/>
      <w:sz w:val="26"/>
    </w:rPr>
  </w:style>
  <w:style w:styleId="Style_12" w:type="paragraph">
    <w:name w:val="toc 3"/>
    <w:next w:val="Style_2"/>
    <w:link w:val="Style_12_ch"/>
    <w:uiPriority w:val="39"/>
    <w:pPr>
      <w:ind w:firstLine="0" w:left="400"/>
      <w:jc w:val="left"/>
    </w:pPr>
    <w:rPr>
      <w:rFonts w:ascii="XO Thames" w:hAnsi="XO Thames"/>
      <w:sz w:val="28"/>
    </w:rPr>
  </w:style>
  <w:style w:styleId="Style_12_ch" w:type="character">
    <w:name w:val="toc 3"/>
    <w:link w:val="Style_12"/>
    <w:rPr>
      <w:rFonts w:ascii="XO Thames" w:hAnsi="XO Thames"/>
      <w:sz w:val="28"/>
    </w:rPr>
  </w:style>
  <w:style w:styleId="Style_13" w:type="paragraph">
    <w:name w:val="heading 5"/>
    <w:next w:val="Style_2"/>
    <w:link w:val="Style_13_ch"/>
    <w:uiPriority w:val="9"/>
    <w:qFormat/>
    <w:pPr>
      <w:spacing w:after="120" w:before="120"/>
      <w:ind/>
      <w:jc w:val="both"/>
      <w:outlineLvl w:val="4"/>
    </w:pPr>
    <w:rPr>
      <w:rFonts w:ascii="XO Thames" w:hAnsi="XO Thames"/>
      <w:b w:val="1"/>
      <w:sz w:val="22"/>
    </w:rPr>
  </w:style>
  <w:style w:styleId="Style_13_ch" w:type="character">
    <w:name w:val="heading 5"/>
    <w:link w:val="Style_13"/>
    <w:rPr>
      <w:rFonts w:ascii="XO Thames" w:hAnsi="XO Thames"/>
      <w:b w:val="1"/>
      <w:sz w:val="22"/>
    </w:rPr>
  </w:style>
  <w:style w:styleId="Style_5" w:type="paragraph">
    <w:name w:val="heading 1"/>
    <w:next w:val="Style_2"/>
    <w:link w:val="Style_5_ch"/>
    <w:uiPriority w:val="9"/>
    <w:qFormat/>
    <w:pPr>
      <w:spacing w:after="120" w:before="120"/>
      <w:ind/>
      <w:jc w:val="both"/>
      <w:outlineLvl w:val="0"/>
    </w:pPr>
    <w:rPr>
      <w:rFonts w:ascii="XO Thames" w:hAnsi="XO Thames"/>
      <w:b w:val="1"/>
      <w:sz w:val="32"/>
    </w:rPr>
  </w:style>
  <w:style w:styleId="Style_5_ch" w:type="character">
    <w:name w:val="heading 1"/>
    <w:link w:val="Style_5"/>
    <w:rPr>
      <w:rFonts w:ascii="XO Thames" w:hAnsi="XO Thames"/>
      <w:b w:val="1"/>
      <w:sz w:val="32"/>
    </w:rPr>
  </w:style>
  <w:style w:styleId="Style_14" w:type="paragraph">
    <w:name w:val="Hyperlink"/>
    <w:link w:val="Style_14_ch"/>
    <w:rPr>
      <w:color w:val="0000FF"/>
      <w:u w:val="single"/>
    </w:rPr>
  </w:style>
  <w:style w:styleId="Style_14_ch" w:type="character">
    <w:name w:val="Hyperlink"/>
    <w:link w:val="Style_14"/>
    <w:rPr>
      <w:color w:val="0000FF"/>
      <w:u w:val="single"/>
    </w:rPr>
  </w:style>
  <w:style w:styleId="Style_15" w:type="paragraph">
    <w:name w:val="Footnote"/>
    <w:link w:val="Style_15_ch"/>
    <w:pPr>
      <w:ind w:firstLine="851" w:left="0"/>
      <w:jc w:val="both"/>
    </w:pPr>
    <w:rPr>
      <w:rFonts w:ascii="XO Thames" w:hAnsi="XO Thames"/>
      <w:sz w:val="22"/>
    </w:rPr>
  </w:style>
  <w:style w:styleId="Style_15_ch" w:type="character">
    <w:name w:val="Footnote"/>
    <w:link w:val="Style_15"/>
    <w:rPr>
      <w:rFonts w:ascii="XO Thames" w:hAnsi="XO Thames"/>
      <w:sz w:val="22"/>
    </w:rPr>
  </w:style>
  <w:style w:styleId="Style_3" w:type="paragraph">
    <w:name w:val="toc 1"/>
    <w:next w:val="Style_2"/>
    <w:link w:val="Style_3_ch"/>
    <w:uiPriority w:val="39"/>
    <w:pPr>
      <w:ind w:firstLine="0" w:left="0"/>
      <w:jc w:val="left"/>
    </w:pPr>
    <w:rPr>
      <w:rFonts w:ascii="XO Thames" w:hAnsi="XO Thames"/>
      <w:b w:val="1"/>
      <w:sz w:val="28"/>
    </w:rPr>
  </w:style>
  <w:style w:styleId="Style_3_ch" w:type="character">
    <w:name w:val="toc 1"/>
    <w:link w:val="Style_3"/>
    <w:rPr>
      <w:rFonts w:ascii="XO Thames" w:hAnsi="XO Thames"/>
      <w:b w:val="1"/>
      <w:sz w:val="28"/>
    </w:rPr>
  </w:style>
  <w:style w:styleId="Style_1" w:type="paragraph">
    <w:name w:val="Header and Footer"/>
    <w:link w:val="Style_1_ch"/>
    <w:pPr>
      <w:spacing w:line="240" w:lineRule="auto"/>
      <w:ind/>
      <w:jc w:val="both"/>
    </w:pPr>
    <w:rPr>
      <w:rFonts w:ascii="XO Thames" w:hAnsi="XO Thames"/>
      <w:sz w:val="28"/>
    </w:rPr>
  </w:style>
  <w:style w:styleId="Style_1_ch" w:type="character">
    <w:name w:val="Header and Footer"/>
    <w:link w:val="Style_1"/>
    <w:rPr>
      <w:rFonts w:ascii="XO Thames" w:hAnsi="XO Thames"/>
      <w:sz w:val="28"/>
    </w:rPr>
  </w:style>
  <w:style w:styleId="Style_16" w:type="paragraph">
    <w:name w:val="toc 9"/>
    <w:next w:val="Style_2"/>
    <w:link w:val="Style_16_ch"/>
    <w:uiPriority w:val="39"/>
    <w:pPr>
      <w:ind w:firstLine="0" w:left="1600"/>
      <w:jc w:val="left"/>
    </w:pPr>
    <w:rPr>
      <w:rFonts w:ascii="XO Thames" w:hAnsi="XO Thames"/>
      <w:sz w:val="28"/>
    </w:rPr>
  </w:style>
  <w:style w:styleId="Style_16_ch" w:type="character">
    <w:name w:val="toc 9"/>
    <w:link w:val="Style_16"/>
    <w:rPr>
      <w:rFonts w:ascii="XO Thames" w:hAnsi="XO Thames"/>
      <w:sz w:val="28"/>
    </w:rPr>
  </w:style>
  <w:style w:styleId="Style_17" w:type="paragraph">
    <w:name w:val="toc 8"/>
    <w:next w:val="Style_2"/>
    <w:link w:val="Style_17_ch"/>
    <w:uiPriority w:val="39"/>
    <w:pPr>
      <w:ind w:firstLine="0" w:left="1400"/>
      <w:jc w:val="left"/>
    </w:pPr>
    <w:rPr>
      <w:rFonts w:ascii="XO Thames" w:hAnsi="XO Thames"/>
      <w:sz w:val="28"/>
    </w:rPr>
  </w:style>
  <w:style w:styleId="Style_17_ch" w:type="character">
    <w:name w:val="toc 8"/>
    <w:link w:val="Style_17"/>
    <w:rPr>
      <w:rFonts w:ascii="XO Thames" w:hAnsi="XO Thames"/>
      <w:sz w:val="28"/>
    </w:rPr>
  </w:style>
  <w:style w:styleId="Style_18" w:type="paragraph">
    <w:name w:val="toc 5"/>
    <w:next w:val="Style_2"/>
    <w:link w:val="Style_18_ch"/>
    <w:uiPriority w:val="39"/>
    <w:pPr>
      <w:ind w:firstLine="0" w:left="800"/>
      <w:jc w:val="left"/>
    </w:pPr>
    <w:rPr>
      <w:rFonts w:ascii="XO Thames" w:hAnsi="XO Thames"/>
      <w:sz w:val="28"/>
    </w:rPr>
  </w:style>
  <w:style w:styleId="Style_18_ch" w:type="character">
    <w:name w:val="toc 5"/>
    <w:link w:val="Style_18"/>
    <w:rPr>
      <w:rFonts w:ascii="XO Thames" w:hAnsi="XO Thames"/>
      <w:sz w:val="28"/>
    </w:rPr>
  </w:style>
  <w:style w:styleId="Style_19" w:type="paragraph">
    <w:name w:val="Subtitle"/>
    <w:next w:val="Style_2"/>
    <w:link w:val="Style_19_ch"/>
    <w:uiPriority w:val="11"/>
    <w:qFormat/>
    <w:pPr>
      <w:ind/>
      <w:jc w:val="both"/>
    </w:pPr>
    <w:rPr>
      <w:rFonts w:ascii="XO Thames" w:hAnsi="XO Thames"/>
      <w:i w:val="1"/>
      <w:sz w:val="24"/>
    </w:rPr>
  </w:style>
  <w:style w:styleId="Style_19_ch" w:type="character">
    <w:name w:val="Subtitle"/>
    <w:link w:val="Style_19"/>
    <w:rPr>
      <w:rFonts w:ascii="XO Thames" w:hAnsi="XO Thames"/>
      <w:i w:val="1"/>
      <w:sz w:val="24"/>
    </w:rPr>
  </w:style>
  <w:style w:styleId="Style_20" w:type="paragraph">
    <w:name w:val="Title"/>
    <w:next w:val="Style_2"/>
    <w:link w:val="Style_20_ch"/>
    <w:uiPriority w:val="10"/>
    <w:qFormat/>
    <w:pPr>
      <w:spacing w:after="567" w:before="567"/>
      <w:ind/>
      <w:jc w:val="center"/>
    </w:pPr>
    <w:rPr>
      <w:rFonts w:ascii="XO Thames" w:hAnsi="XO Thames"/>
      <w:b w:val="1"/>
      <w:caps w:val="1"/>
      <w:sz w:val="40"/>
    </w:rPr>
  </w:style>
  <w:style w:styleId="Style_20_ch" w:type="character">
    <w:name w:val="Title"/>
    <w:link w:val="Style_20"/>
    <w:rPr>
      <w:rFonts w:ascii="XO Thames" w:hAnsi="XO Thames"/>
      <w:b w:val="1"/>
      <w:caps w:val="1"/>
      <w:sz w:val="40"/>
    </w:rPr>
  </w:style>
  <w:style w:styleId="Style_21" w:type="paragraph">
    <w:name w:val="heading 4"/>
    <w:next w:val="Style_2"/>
    <w:link w:val="Style_21_ch"/>
    <w:uiPriority w:val="9"/>
    <w:qFormat/>
    <w:pPr>
      <w:spacing w:after="120" w:before="120"/>
      <w:ind/>
      <w:jc w:val="both"/>
      <w:outlineLvl w:val="3"/>
    </w:pPr>
    <w:rPr>
      <w:rFonts w:ascii="XO Thames" w:hAnsi="XO Thames"/>
      <w:b w:val="1"/>
      <w:sz w:val="24"/>
    </w:rPr>
  </w:style>
  <w:style w:styleId="Style_21_ch" w:type="character">
    <w:name w:val="heading 4"/>
    <w:link w:val="Style_21"/>
    <w:rPr>
      <w:rFonts w:ascii="XO Thames" w:hAnsi="XO Thames"/>
      <w:b w:val="1"/>
      <w:sz w:val="24"/>
    </w:rPr>
  </w:style>
  <w:style w:styleId="Style_6" w:type="paragraph">
    <w:name w:val="heading 2"/>
    <w:next w:val="Style_2"/>
    <w:link w:val="Style_6_ch"/>
    <w:uiPriority w:val="9"/>
    <w:qFormat/>
    <w:pPr>
      <w:spacing w:after="120" w:before="120"/>
      <w:ind/>
      <w:jc w:val="both"/>
      <w:outlineLvl w:val="1"/>
    </w:pPr>
    <w:rPr>
      <w:rFonts w:ascii="XO Thames" w:hAnsi="XO Thames"/>
      <w:b w:val="1"/>
      <w:sz w:val="28"/>
    </w:rPr>
  </w:style>
  <w:style w:styleId="Style_6_ch" w:type="character">
    <w:name w:val="heading 2"/>
    <w:link w:val="Style_6"/>
    <w:rPr>
      <w:rFonts w:ascii="XO Thames" w:hAnsi="XO Thames"/>
      <w:b w:val="1"/>
      <w:sz w:val="28"/>
    </w:rPr>
  </w:style>
</w:styles>
</file>

<file path=word/stylesWithEffect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111FAE"/>
    <w:pPr>
      <w:keepNext/>
      <w:keepLines/>
      <w:spacing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111FAE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no" ?>
<Relationships xmlns="http://schemas.openxmlformats.org/package/2006/relationships">
  <Relationship Id="rId17" Target="styles.xml" Type="http://schemas.openxmlformats.org/officeDocument/2006/relationships/styles"/>
  <Relationship Id="rId7" Target="media/5.png" Type="http://schemas.openxmlformats.org/officeDocument/2006/relationships/image"/>
  <Relationship Id="rId6" Target="media/4.png" Type="http://schemas.openxmlformats.org/officeDocument/2006/relationships/image"/>
  <Relationship Id="rId14" Target="media/12.png" Type="http://schemas.openxmlformats.org/officeDocument/2006/relationships/image"/>
  <Relationship Id="rId13" Target="media/11.png" Type="http://schemas.openxmlformats.org/officeDocument/2006/relationships/image"/>
  <Relationship Id="rId18" Target="stylesWithEffects.xml" Type="http://schemas.microsoft.com/office/2007/relationships/stylesWithEffects"/>
  <Relationship Id="rId4" Target="media/2.png" Type="http://schemas.openxmlformats.org/officeDocument/2006/relationships/image"/>
  <Relationship Id="rId3" Target="media/1.png" Type="http://schemas.openxmlformats.org/officeDocument/2006/relationships/image"/>
  <Relationship Id="rId12" Target="media/10.png" Type="http://schemas.openxmlformats.org/officeDocument/2006/relationships/image"/>
  <Relationship Id="rId10" Target="media/8.png" Type="http://schemas.openxmlformats.org/officeDocument/2006/relationships/image"/>
  <Relationship Id="rId19" Target="webSettings.xml" Type="http://schemas.openxmlformats.org/officeDocument/2006/relationships/webSettings"/>
  <Relationship Id="rId5" Target="media/3.png" Type="http://schemas.openxmlformats.org/officeDocument/2006/relationships/image"/>
  <Relationship Id="rId11" Target="media/9.png" Type="http://schemas.openxmlformats.org/officeDocument/2006/relationships/image"/>
  <Relationship Id="rId8" Target="media/6.png" Type="http://schemas.openxmlformats.org/officeDocument/2006/relationships/image"/>
  <Relationship Id="rId16" Target="settings.xml" Type="http://schemas.openxmlformats.org/officeDocument/2006/relationships/settings"/>
  <Relationship Id="rId20" Target="theme/theme1.xml" Type="http://schemas.openxmlformats.org/officeDocument/2006/relationships/theme"/>
  <Relationship Id="rId2" Target="footer2.xml" Type="http://schemas.openxmlformats.org/officeDocument/2006/relationships/footer"/>
  <Relationship Id="rId21" Target="numbering.xml" Type="http://schemas.openxmlformats.org/officeDocument/2006/relationships/numbering"/>
  <Relationship Id="rId9" Target="media/7.png" Type="http://schemas.openxmlformats.org/officeDocument/2006/relationships/image"/>
  <Relationship Id="rId15" Target="fontTable.xml" Type="http://schemas.openxmlformats.org/officeDocument/2006/relationships/fontTable"/>
  <Relationship Id="rId1" Target="header1.xml" Type="http://schemas.openxmlformats.org/officeDocument/2006/relationships/header"/>
</Relationships>
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63000"/>
                <a:satMod val="300000"/>
              </a:schemeClr>
            </a:gs>
            <a:gs pos="100000">
              <a:schemeClr val="phClr">
                <a:tint val="8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>
          <a:solidFill>
            <a:schemeClr val="phClr">
              <a:shade val="95000"/>
              <a:satMod val="105000"/>
            </a:schemeClr>
          </a:solidFill>
          <a:prstDash val="solid"/>
        </a:ln>
        <a:ln>
          <a:solidFill>
            <a:schemeClr val="phClr"/>
          </a:solidFill>
          <a:prstDash val="solid"/>
        </a:ln>
        <a:ln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  <a:satMod val="350000"/>
              </a:schemeClr>
            </a:gs>
            <a:gs pos="40000">
              <a:schemeClr val="phClr">
                <a:tint val="5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2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docProps/app.xml><?xml version="1.0" encoding="utf-8"?>
<Properties xmlns="http://schemas.openxmlformats.org/officeDocument/2006/extended-properties">
  <Template>Normal.dotm</Template>
  <TotalTime>0</TotalTime>
  <DocSecurity>0</DocSecurity>
  <ScaleCrop>false</ScaleCrop>
  <Application>MyOffice-CoreFramework-macOS/31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modified xsi:type="dcterms:W3CDTF">2025-10-28T10:11:48Z</dcterms:modified>
</cp:coreProperties>
</file>