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E389C">
      <w:pPr>
        <w:pStyle w:val="2"/>
        <w:numPr>
          <w:ilvl w:val="1"/>
          <w:numId w:val="1"/>
        </w:numPr>
        <w:rPr>
          <w:rFonts w:ascii="仿宋_GB2312" w:eastAsia="仿宋_GB2312"/>
        </w:rPr>
      </w:pPr>
      <w:bookmarkStart w:id="0" w:name="_Toc2950"/>
      <w:r>
        <w:rPr>
          <w:rFonts w:hint="eastAsia" w:ascii="仿宋_GB2312" w:eastAsia="仿宋_GB2312"/>
        </w:rPr>
        <w:t>报表配置</w:t>
      </w:r>
      <w:bookmarkEnd w:id="0"/>
    </w:p>
    <w:p w14:paraId="5F4E8446">
      <w:pPr>
        <w:spacing w:line="360" w:lineRule="auto"/>
        <w:ind w:firstLine="420"/>
        <w:rPr>
          <w:rFonts w:hint="eastAsia" w:ascii="宋体" w:hAnsi="宋体" w:cs="宋体"/>
          <w:spacing w:val="-2"/>
          <w:sz w:val="24"/>
        </w:rPr>
      </w:pPr>
      <w:r>
        <w:rPr>
          <w:rFonts w:hint="eastAsia" w:ascii="宋体" w:hAnsi="宋体" w:eastAsia="宋体" w:cs="宋体"/>
          <w:spacing w:val="-2"/>
          <w:sz w:val="24"/>
        </w:rPr>
        <w:t>可个性化配置</w:t>
      </w:r>
      <w:r>
        <w:rPr>
          <w:rFonts w:hint="eastAsia" w:ascii="宋体" w:hAnsi="宋体"/>
          <w:sz w:val="24"/>
        </w:rPr>
        <w:t>复杂且高度可视化的</w:t>
      </w:r>
      <w:r>
        <w:rPr>
          <w:rFonts w:hint="eastAsia" w:ascii="宋体" w:hAnsi="宋体" w:eastAsia="宋体" w:cs="宋体"/>
          <w:spacing w:val="-2"/>
          <w:sz w:val="24"/>
        </w:rPr>
        <w:t>报表模版，提高数据展示的清晰度和可操作性，便于自动化汇总和分析相关统计数据，提供报表生成效率，减少错误。</w:t>
      </w:r>
    </w:p>
    <w:p w14:paraId="623555D5">
      <w:pPr>
        <w:spacing w:line="360" w:lineRule="auto"/>
      </w:pPr>
      <w:r>
        <w:drawing>
          <wp:inline distT="0" distB="0" distL="114300" distR="114300">
            <wp:extent cx="5268595" cy="2254250"/>
            <wp:effectExtent l="0" t="0" r="14605" b="6350"/>
            <wp:docPr id="5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AB581">
      <w:pPr>
        <w:spacing w:line="360" w:lineRule="auto"/>
        <w:ind w:firstLine="520"/>
        <w:rPr>
          <w:sz w:val="24"/>
        </w:rPr>
      </w:pPr>
      <w:r>
        <w:rPr>
          <w:rFonts w:hint="eastAsia"/>
          <w:sz w:val="24"/>
        </w:rPr>
        <w:t>点击新增按钮可创建新报表</w:t>
      </w:r>
      <w:r>
        <w:rPr>
          <w:rFonts w:hint="eastAsia" w:ascii="宋体" w:hAnsi="宋体"/>
          <w:sz w:val="24"/>
        </w:rPr>
        <w:t>模版</w:t>
      </w:r>
      <w:r>
        <w:rPr>
          <w:rFonts w:hint="eastAsia"/>
          <w:sz w:val="24"/>
        </w:rPr>
        <w:t>，需填写报表名称、时间维度、时间跨度、关联主数据和报表说明。时间维度用于确认表格属于小时/日/月/年表；时间跨度用于确认表格为时间点/时间段表；关联主数据用于确认表格对象是否可直接选择于某主数据模型。</w:t>
      </w:r>
    </w:p>
    <w:p w14:paraId="0881E9A3">
      <w:pPr>
        <w:spacing w:line="360" w:lineRule="auto"/>
        <w:ind w:firstLine="520"/>
        <w:rPr>
          <w:sz w:val="24"/>
        </w:rPr>
      </w:pPr>
      <w:r>
        <w:rPr>
          <w:rFonts w:hint="eastAsia"/>
          <w:sz w:val="24"/>
        </w:rPr>
        <w:t>点击编辑按钮可修改报表</w:t>
      </w:r>
      <w:r>
        <w:rPr>
          <w:rFonts w:hint="eastAsia" w:ascii="宋体" w:hAnsi="宋体"/>
          <w:sz w:val="24"/>
        </w:rPr>
        <w:t>模版的</w:t>
      </w:r>
      <w:r>
        <w:rPr>
          <w:rFonts w:hint="eastAsia"/>
          <w:sz w:val="24"/>
        </w:rPr>
        <w:t>基础信息。</w:t>
      </w:r>
    </w:p>
    <w:p w14:paraId="7AECC889">
      <w:pPr>
        <w:spacing w:line="360" w:lineRule="auto"/>
        <w:rPr>
          <w:sz w:val="24"/>
        </w:rPr>
      </w:pPr>
      <w:r>
        <w:drawing>
          <wp:inline distT="0" distB="0" distL="114300" distR="114300">
            <wp:extent cx="5273675" cy="2334895"/>
            <wp:effectExtent l="0" t="0" r="9525" b="1905"/>
            <wp:docPr id="1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6240E">
      <w:pPr>
        <w:spacing w:line="360" w:lineRule="auto"/>
        <w:ind w:firstLine="520"/>
        <w:rPr>
          <w:sz w:val="24"/>
        </w:rPr>
      </w:pPr>
      <w:r>
        <w:rPr>
          <w:rFonts w:hint="eastAsia"/>
          <w:sz w:val="24"/>
        </w:rPr>
        <w:t>点击配置按钮，可对报表单元格进行设置。固定数据可直接输入单元格；当计算所需数据在此报表中都存在时，可直接在报表中配置公式。</w:t>
      </w:r>
    </w:p>
    <w:p w14:paraId="7A3229B0">
      <w:pPr>
        <w:spacing w:line="360" w:lineRule="auto"/>
        <w:rPr>
          <w:sz w:val="24"/>
        </w:rPr>
      </w:pPr>
      <w:r>
        <w:drawing>
          <wp:inline distT="0" distB="0" distL="114300" distR="114300">
            <wp:extent cx="5270500" cy="2146300"/>
            <wp:effectExtent l="0" t="0" r="12700" b="12700"/>
            <wp:docPr id="1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647C2">
      <w:pPr>
        <w:spacing w:line="360" w:lineRule="auto"/>
        <w:ind w:firstLine="520"/>
        <w:rPr>
          <w:sz w:val="24"/>
        </w:rPr>
      </w:pPr>
      <w:r>
        <w:rPr>
          <w:rFonts w:hint="eastAsia"/>
          <w:sz w:val="24"/>
        </w:rPr>
        <w:t>需系统自动填充单元格数据时，需进行单元格配置。右键选中需要配置的单元格，点击 配置该单元格 选项，选择填充类型（点填充/集合填充）和数据类型（主数据/时间/值/占位格）。点填充仅可配置已选中的单元格，集合填充可配置已选中的单元格所在列的单元格。</w:t>
      </w:r>
    </w:p>
    <w:p w14:paraId="61ABE35F">
      <w:pPr>
        <w:spacing w:line="360" w:lineRule="auto"/>
      </w:pPr>
      <w:r>
        <w:drawing>
          <wp:inline distT="0" distB="0" distL="114300" distR="114300">
            <wp:extent cx="5270500" cy="2146300"/>
            <wp:effectExtent l="0" t="0" r="12700" b="12700"/>
            <wp:docPr id="1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EA422">
      <w:pPr>
        <w:spacing w:line="360" w:lineRule="auto"/>
      </w:pPr>
      <w:r>
        <w:drawing>
          <wp:inline distT="0" distB="0" distL="114300" distR="114300">
            <wp:extent cx="5270500" cy="1908810"/>
            <wp:effectExtent l="0" t="0" r="12700" b="21590"/>
            <wp:docPr id="1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B600D">
      <w:pPr>
        <w:spacing w:line="360" w:lineRule="auto"/>
        <w:ind w:firstLine="520"/>
        <w:rPr>
          <w:sz w:val="24"/>
        </w:rPr>
      </w:pPr>
      <w:r>
        <w:rPr>
          <w:rFonts w:hint="eastAsia"/>
          <w:sz w:val="24"/>
        </w:rPr>
        <w:t>当填充类型选择点填充 数据类型选择主数据时，需选择一具体主数据对象/主数据对象的属性。</w:t>
      </w:r>
    </w:p>
    <w:p w14:paraId="4B10B94D">
      <w:pPr>
        <w:spacing w:line="360" w:lineRule="auto"/>
      </w:pPr>
      <w:r>
        <w:drawing>
          <wp:inline distT="0" distB="0" distL="114300" distR="114300">
            <wp:extent cx="5270500" cy="2129790"/>
            <wp:effectExtent l="0" t="0" r="12700" b="3810"/>
            <wp:docPr id="1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18C13">
      <w:pPr>
        <w:spacing w:line="360" w:lineRule="auto"/>
        <w:ind w:firstLine="520"/>
        <w:rPr>
          <w:sz w:val="24"/>
        </w:rPr>
      </w:pPr>
      <w:r>
        <w:rPr>
          <w:rFonts w:hint="eastAsia"/>
          <w:sz w:val="24"/>
        </w:rPr>
        <w:t>当填充类型选择点填充 数据类型选择时间时，需按照规则填写时间格式。</w:t>
      </w:r>
    </w:p>
    <w:p w14:paraId="5F878B38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时间配置规则：</w:t>
      </w:r>
    </w:p>
    <w:p w14:paraId="6DF4C6C5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1.常见格式</w:t>
      </w:r>
    </w:p>
    <w:p w14:paraId="627A7531">
      <w:pPr>
        <w:numPr>
          <w:ilvl w:val="0"/>
          <w:numId w:val="2"/>
        </w:numPr>
        <w:rPr>
          <w:rFonts w:hint="eastAsia" w:ascii="宋体" w:hAnsi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yyyy：年</w:t>
      </w:r>
    </w:p>
    <w:p w14:paraId="0EEEBBEF">
      <w:pPr>
        <w:numPr>
          <w:ilvl w:val="0"/>
          <w:numId w:val="2"/>
        </w:numPr>
        <w:rPr>
          <w:rFonts w:hint="eastAsia" w:ascii="宋体" w:hAnsi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MM：月</w:t>
      </w:r>
    </w:p>
    <w:p w14:paraId="77AC7F36">
      <w:pPr>
        <w:numPr>
          <w:ilvl w:val="0"/>
          <w:numId w:val="2"/>
        </w:numPr>
        <w:rPr>
          <w:rFonts w:hint="eastAsia" w:ascii="宋体" w:hAnsi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dd：日</w:t>
      </w:r>
    </w:p>
    <w:p w14:paraId="2F992E15">
      <w:pPr>
        <w:numPr>
          <w:ilvl w:val="0"/>
          <w:numId w:val="2"/>
        </w:numPr>
        <w:rPr>
          <w:rFonts w:hint="eastAsia" w:ascii="宋体" w:hAnsi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HH：时（24小时制）</w:t>
      </w:r>
    </w:p>
    <w:p w14:paraId="2289B206">
      <w:pPr>
        <w:numPr>
          <w:ilvl w:val="0"/>
          <w:numId w:val="2"/>
        </w:numPr>
        <w:rPr>
          <w:rFonts w:hint="eastAsia" w:ascii="宋体" w:hAnsi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hh：时（12小时制）</w:t>
      </w:r>
    </w:p>
    <w:p w14:paraId="177F5438">
      <w:pPr>
        <w:numPr>
          <w:ilvl w:val="0"/>
          <w:numId w:val="2"/>
        </w:numPr>
        <w:rPr>
          <w:rFonts w:hint="eastAsia" w:ascii="宋体" w:hAnsi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mm：分</w:t>
      </w:r>
    </w:p>
    <w:p w14:paraId="0ACE9920">
      <w:pPr>
        <w:numPr>
          <w:ilvl w:val="0"/>
          <w:numId w:val="2"/>
        </w:numPr>
        <w:rPr>
          <w:rFonts w:hint="eastAsia" w:ascii="宋体" w:hAnsi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EEEE：周</w:t>
      </w:r>
    </w:p>
    <w:p w14:paraId="32D51D9E">
      <w:pPr>
        <w:spacing w:line="360" w:lineRule="auto"/>
        <w:rPr>
          <w:sz w:val="24"/>
        </w:rPr>
      </w:pPr>
      <w:r>
        <w:rPr>
          <w:rFonts w:hint="eastAsia"/>
          <w:sz w:val="24"/>
        </w:rPr>
        <w:t>2.若配置日期需进行运算，需为运算部分添加运算符^，并将做完运算的部分用括号{}括住。若配置日期无需进行运算，直接按照格式填写即可。</w:t>
      </w:r>
    </w:p>
    <w:p w14:paraId="34DE0AB2">
      <w:pPr>
        <w:spacing w:line="360" w:lineRule="auto"/>
        <w:rPr>
          <w:sz w:val="24"/>
        </w:rPr>
      </w:pPr>
      <w:r>
        <w:rPr>
          <w:rFonts w:hint="eastAsia"/>
          <w:sz w:val="24"/>
        </w:rPr>
        <w:t>3.标准配置举例：如配置 08:00~09:00，可配成{HH^-1}:00~HH:00；如配置 2024-06-13(星期四)，可配成yyyy-MM-dd(EEEE)；如配置2023-05-12~2024-06-13，可配成{yyyy^-1}-{MM^-1}-{dd^-1}~yyyy-MM-dd。</w:t>
      </w:r>
    </w:p>
    <w:p w14:paraId="454D0F67">
      <w:pPr>
        <w:spacing w:line="360" w:lineRule="auto"/>
        <w:rPr>
          <w:sz w:val="24"/>
        </w:rPr>
      </w:pPr>
      <w:r>
        <w:rPr>
          <w:rFonts w:hint="eastAsia"/>
          <w:sz w:val="24"/>
        </w:rPr>
        <w:t>4.常见错误举例：如配置 08:00~09:00，配成{HH^-1:00}~HH:00。</w:t>
      </w:r>
    </w:p>
    <w:p w14:paraId="3854B9DC">
      <w:pPr>
        <w:spacing w:line="360" w:lineRule="auto"/>
        <w:rPr>
          <w:sz w:val="24"/>
          <w:highlight w:val="yellow"/>
        </w:rPr>
      </w:pPr>
      <w:r>
        <w:drawing>
          <wp:inline distT="0" distB="0" distL="114300" distR="114300">
            <wp:extent cx="5264150" cy="1885950"/>
            <wp:effectExtent l="0" t="0" r="19050" b="19050"/>
            <wp:docPr id="13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B05CA">
      <w:pPr>
        <w:spacing w:line="360" w:lineRule="auto"/>
        <w:ind w:firstLine="520"/>
        <w:rPr>
          <w:sz w:val="24"/>
        </w:rPr>
      </w:pPr>
      <w:r>
        <w:rPr>
          <w:rFonts w:hint="eastAsia"/>
          <w:sz w:val="24"/>
        </w:rPr>
        <w:t>当填充类型选择点填充 数据类型选择值时，需选择计量类型（实时数据/计量数据）和对象（具体主数据对象/主数据对象的属性）。选择计量数据后需选择计量计算的时间维度（小时/日/月/年，该时间维度需小于报表模版新增时设置的时间维度）和公式（求和/求差/取头/取尾）。其中取头应用于时间段表取开始时间数据；取尾应用于时间段表取结束时间数据。</w:t>
      </w:r>
    </w:p>
    <w:p w14:paraId="15C9DA32">
      <w:pPr>
        <w:spacing w:line="360" w:lineRule="auto"/>
      </w:pPr>
      <w:r>
        <w:drawing>
          <wp:inline distT="0" distB="0" distL="114300" distR="114300">
            <wp:extent cx="5270500" cy="2107565"/>
            <wp:effectExtent l="0" t="0" r="12700" b="635"/>
            <wp:docPr id="5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47266">
      <w:pPr>
        <w:spacing w:line="360" w:lineRule="auto"/>
      </w:pPr>
      <w:r>
        <w:drawing>
          <wp:inline distT="0" distB="0" distL="114300" distR="114300">
            <wp:extent cx="5270500" cy="2132330"/>
            <wp:effectExtent l="0" t="0" r="12700" b="1270"/>
            <wp:docPr id="5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5A2C6">
      <w:pPr>
        <w:spacing w:line="360" w:lineRule="auto"/>
        <w:ind w:firstLine="520"/>
        <w:rPr>
          <w:sz w:val="24"/>
        </w:rPr>
      </w:pPr>
      <w:r>
        <w:rPr>
          <w:rFonts w:hint="eastAsia"/>
          <w:sz w:val="24"/>
        </w:rPr>
        <w:t>当填充类型选择点填充 数据类型选择占位格时，无需其他操作，仅代表空格子。</w:t>
      </w:r>
    </w:p>
    <w:p w14:paraId="6822592C">
      <w:pPr>
        <w:spacing w:line="360" w:lineRule="auto"/>
        <w:rPr>
          <w:sz w:val="24"/>
        </w:rPr>
      </w:pPr>
      <w:r>
        <w:drawing>
          <wp:inline distT="0" distB="0" distL="114300" distR="114300">
            <wp:extent cx="5263515" cy="2104390"/>
            <wp:effectExtent l="0" t="0" r="19685" b="3810"/>
            <wp:docPr id="13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3E59F">
      <w:pPr>
        <w:spacing w:line="360" w:lineRule="auto"/>
        <w:ind w:firstLine="520"/>
        <w:rPr>
          <w:sz w:val="24"/>
        </w:rPr>
      </w:pPr>
      <w:r>
        <w:rPr>
          <w:rFonts w:hint="eastAsia"/>
          <w:sz w:val="24"/>
        </w:rPr>
        <w:t>当填充类型选择集合填充 数据类型选择主数据时，需选择实体类型（模版/对象）。当选择模版时，可选择是否关联视图，并配置公式。当选择对象时，直接配置公式即可。</w:t>
      </w:r>
    </w:p>
    <w:p w14:paraId="5E4CC92B">
      <w:pPr>
        <w:spacing w:line="360" w:lineRule="auto"/>
        <w:rPr>
          <w:sz w:val="24"/>
        </w:rPr>
      </w:pPr>
      <w:r>
        <w:drawing>
          <wp:inline distT="0" distB="0" distL="114300" distR="114300">
            <wp:extent cx="5272405" cy="2137410"/>
            <wp:effectExtent l="0" t="0" r="10795" b="21590"/>
            <wp:docPr id="13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E709B">
      <w:pPr>
        <w:spacing w:line="360" w:lineRule="auto"/>
        <w:rPr>
          <w:sz w:val="24"/>
        </w:rPr>
      </w:pPr>
      <w:r>
        <w:drawing>
          <wp:inline distT="0" distB="0" distL="114300" distR="114300">
            <wp:extent cx="5266690" cy="1978660"/>
            <wp:effectExtent l="0" t="0" r="16510" b="2540"/>
            <wp:docPr id="13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2B910">
      <w:pPr>
        <w:spacing w:line="360" w:lineRule="auto"/>
        <w:ind w:firstLine="520"/>
        <w:rPr>
          <w:sz w:val="24"/>
        </w:rPr>
      </w:pPr>
      <w:r>
        <w:rPr>
          <w:rFonts w:hint="eastAsia"/>
          <w:sz w:val="24"/>
        </w:rPr>
        <w:t>当填充类型选择集合填充 数据类型选择值时，需选择计量类型（实时数据/计量数据）和模版（具体主数据模型/主数据模型的属性）。选择计量数据后需选择公式（求和/求差/取头/取尾）。</w:t>
      </w:r>
    </w:p>
    <w:p w14:paraId="3D424A9E">
      <w:pPr>
        <w:spacing w:line="360" w:lineRule="auto"/>
        <w:rPr>
          <w:sz w:val="24"/>
        </w:rPr>
      </w:pPr>
      <w:r>
        <w:drawing>
          <wp:inline distT="0" distB="0" distL="114300" distR="114300">
            <wp:extent cx="5263515" cy="2045970"/>
            <wp:effectExtent l="0" t="0" r="19685" b="11430"/>
            <wp:docPr id="13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564E5">
      <w:pPr>
        <w:spacing w:line="360" w:lineRule="auto"/>
        <w:rPr>
          <w:sz w:val="24"/>
        </w:rPr>
      </w:pPr>
      <w:r>
        <w:drawing>
          <wp:inline distT="0" distB="0" distL="114300" distR="114300">
            <wp:extent cx="5266690" cy="2116455"/>
            <wp:effectExtent l="0" t="0" r="16510" b="17145"/>
            <wp:docPr id="13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C6256">
      <w:pPr>
        <w:spacing w:line="360" w:lineRule="auto"/>
        <w:ind w:firstLine="520"/>
        <w:rPr>
          <w:sz w:val="24"/>
        </w:rPr>
      </w:pPr>
      <w:r>
        <w:rPr>
          <w:rFonts w:hint="eastAsia"/>
          <w:sz w:val="24"/>
        </w:rPr>
        <w:t>当填充类型选择集合填充 数据类型选择占位符时，无需其他操作，仅代表空格子。</w:t>
      </w:r>
    </w:p>
    <w:p w14:paraId="3305391C">
      <w:pPr>
        <w:spacing w:line="360" w:lineRule="auto"/>
        <w:rPr>
          <w:sz w:val="24"/>
        </w:rPr>
      </w:pPr>
      <w:r>
        <w:drawing>
          <wp:inline distT="0" distB="0" distL="114300" distR="114300">
            <wp:extent cx="5263515" cy="1987550"/>
            <wp:effectExtent l="0" t="0" r="19685" b="19050"/>
            <wp:docPr id="13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CC607">
      <w:pPr>
        <w:spacing w:line="360" w:lineRule="auto"/>
        <w:ind w:firstLine="520"/>
        <w:rPr>
          <w:sz w:val="24"/>
        </w:rPr>
      </w:pPr>
      <w:r>
        <w:rPr>
          <w:rFonts w:hint="eastAsia"/>
          <w:sz w:val="24"/>
        </w:rPr>
        <w:t>当报表配置完毕后，需整体进行格式化。选中全部报表，点击 自动-自定义格式-更多数字格式，选择需要的小数点位数即可。</w:t>
      </w:r>
    </w:p>
    <w:p w14:paraId="69F5F918">
      <w:pPr>
        <w:spacing w:line="360" w:lineRule="auto"/>
      </w:pPr>
      <w:r>
        <w:drawing>
          <wp:inline distT="0" distB="0" distL="114300" distR="114300">
            <wp:extent cx="5270500" cy="2187575"/>
            <wp:effectExtent l="0" t="0" r="12700" b="22225"/>
            <wp:docPr id="13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3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205E8">
      <w:pPr>
        <w:spacing w:line="360" w:lineRule="auto"/>
        <w:ind w:firstLine="520"/>
        <w:rPr>
          <w:sz w:val="24"/>
        </w:rPr>
      </w:pPr>
      <w:r>
        <w:rPr>
          <w:rFonts w:hint="eastAsia"/>
          <w:sz w:val="24"/>
        </w:rPr>
        <w:t>最后记得点击确定按钮，保存配置。</w:t>
      </w:r>
    </w:p>
    <w:p w14:paraId="7789563E">
      <w:pPr>
        <w:spacing w:line="360" w:lineRule="auto"/>
        <w:rPr>
          <w:sz w:val="24"/>
        </w:rPr>
      </w:pPr>
      <w:r>
        <w:drawing>
          <wp:inline distT="0" distB="0" distL="114300" distR="114300">
            <wp:extent cx="5269230" cy="2540635"/>
            <wp:effectExtent l="0" t="0" r="13970" b="24765"/>
            <wp:docPr id="13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E74DE">
      <w:pPr>
        <w:spacing w:line="360" w:lineRule="auto"/>
        <w:ind w:firstLine="520"/>
      </w:pPr>
      <w:r>
        <w:rPr>
          <w:rFonts w:hint="eastAsia"/>
          <w:sz w:val="24"/>
        </w:rPr>
        <w:t>点击删除按钮可将已有报表模版从列表中删除。</w:t>
      </w:r>
    </w:p>
    <w:p w14:paraId="39210DB7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-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442668"/>
    <w:multiLevelType w:val="singleLevel"/>
    <w:tmpl w:val="9144266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6C415667"/>
    <w:multiLevelType w:val="multilevel"/>
    <w:tmpl w:val="6C415667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23FBEEC"/>
    <w:rsid w:val="F23FB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2026-05-18T13:00:00Z</dcterms:created>
  <dc:creator>小布</dc:creator>
  <cp:lastModifiedBy>小布</cp:lastModifiedBy>
  <dcterms:modified xsi:type="dcterms:W3CDTF">2026-05-18T13:00:24Z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4A9873E3172202CFD79C0A6A87B54748_41</vt:lpwstr>
  </property>
</Properties>
</file>