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2361" w14:textId="77777777" w:rsidR="001B7D85" w:rsidRPr="001B7D85" w:rsidRDefault="001B7D85" w:rsidP="001B7D85">
      <w:r w:rsidRPr="001B7D85">
        <w:t>Proceedings of the 80th Audit Committee Meeting held on July 23, 2019, at 10:00 A.M. at the Corporate Office, Mumbai.</w:t>
      </w:r>
    </w:p>
    <w:p w14:paraId="68F300D3" w14:textId="77777777" w:rsidR="001B7D85" w:rsidRPr="001B7D85" w:rsidRDefault="001B7D85" w:rsidP="001B7D85">
      <w:r w:rsidRPr="001B7D85">
        <w:rPr>
          <w:b/>
          <w:bCs/>
        </w:rPr>
        <w:t>1. Attendees</w:t>
      </w:r>
    </w:p>
    <w:p w14:paraId="4D738E85" w14:textId="77777777" w:rsidR="001B7D85" w:rsidRPr="001B7D85" w:rsidRDefault="001B7D85" w:rsidP="001B7D85">
      <w:r w:rsidRPr="001B7D85">
        <w:t>The meeting was chaired by Mr. John Dias and attended by the following members:</w:t>
      </w:r>
    </w:p>
    <w:p w14:paraId="652F656C" w14:textId="77777777" w:rsidR="001B7D85" w:rsidRPr="001B7D85" w:rsidRDefault="001B7D85" w:rsidP="001B7D85">
      <w:pPr>
        <w:numPr>
          <w:ilvl w:val="0"/>
          <w:numId w:val="1"/>
        </w:numPr>
      </w:pPr>
      <w:r w:rsidRPr="001B7D85">
        <w:t xml:space="preserve">Mr. John Dias (Chairman) </w:t>
      </w:r>
    </w:p>
    <w:p w14:paraId="6652C9A8" w14:textId="77777777" w:rsidR="001B7D85" w:rsidRPr="001B7D85" w:rsidRDefault="001B7D85" w:rsidP="001B7D85">
      <w:pPr>
        <w:numPr>
          <w:ilvl w:val="0"/>
          <w:numId w:val="1"/>
        </w:numPr>
      </w:pPr>
      <w:r w:rsidRPr="001B7D85">
        <w:t xml:space="preserve">Mr. M.S. Thomas (Member) </w:t>
      </w:r>
    </w:p>
    <w:p w14:paraId="110F21AD" w14:textId="77777777" w:rsidR="001B7D85" w:rsidRPr="001B7D85" w:rsidRDefault="001B7D85" w:rsidP="001B7D85">
      <w:pPr>
        <w:numPr>
          <w:ilvl w:val="0"/>
          <w:numId w:val="1"/>
        </w:numPr>
      </w:pPr>
      <w:r w:rsidRPr="001B7D85">
        <w:t xml:space="preserve">Mr. V. Antony (Member) </w:t>
      </w:r>
    </w:p>
    <w:p w14:paraId="0C8BB60E" w14:textId="77777777" w:rsidR="001B7D85" w:rsidRPr="001B7D85" w:rsidRDefault="001B7D85" w:rsidP="001B7D85">
      <w:r w:rsidRPr="001B7D85">
        <w:rPr>
          <w:b/>
          <w:bCs/>
        </w:rPr>
        <w:t>2. Meeting Agenda and Resolutions</w:t>
      </w:r>
    </w:p>
    <w:p w14:paraId="66D3E025" w14:textId="77777777" w:rsidR="001B7D85" w:rsidRPr="001B7D85" w:rsidRDefault="001B7D85" w:rsidP="001B7D85">
      <w:r w:rsidRPr="001B7D85">
        <w:t>The committee reviewed and discussed the following agenda items:</w:t>
      </w:r>
    </w:p>
    <w:p w14:paraId="694AD9F5" w14:textId="77777777" w:rsidR="001B7D85" w:rsidRPr="001B7D85" w:rsidRDefault="001B7D85" w:rsidP="001B7D85">
      <w:pPr>
        <w:numPr>
          <w:ilvl w:val="0"/>
          <w:numId w:val="2"/>
        </w:numPr>
      </w:pPr>
      <w:r w:rsidRPr="001B7D85">
        <w:rPr>
          <w:b/>
          <w:bCs/>
        </w:rPr>
        <w:t>Confirmation of Minutes of the 79th Audit Committee Meeting:</w:t>
      </w:r>
      <w:r w:rsidRPr="001B7D85">
        <w:t xml:space="preserve"> The minutes of the 79th Audit Committee Meeting held on May 7, 2018, were confirmed. </w:t>
      </w:r>
    </w:p>
    <w:p w14:paraId="77988922" w14:textId="77777777" w:rsidR="001B7D85" w:rsidRPr="001B7D85" w:rsidRDefault="001B7D85" w:rsidP="001B7D85">
      <w:pPr>
        <w:numPr>
          <w:ilvl w:val="0"/>
          <w:numId w:val="2"/>
        </w:numPr>
      </w:pPr>
      <w:r w:rsidRPr="001B7D85">
        <w:rPr>
          <w:b/>
          <w:bCs/>
        </w:rPr>
        <w:t>Review of Company Performance:</w:t>
      </w:r>
      <w:r w:rsidRPr="001B7D85">
        <w:t xml:space="preserve"> The performance for the first quarter ending June 30, 2018, of FY 2019-20 was reviewed. The committee noted that the company's total business grew by 9.92% to ₹2,193.00 crore, total AUM grew by 10.33% to ₹1,573.41 crore, and deposits grew by 8.89% to ₹619.59 crore. The CRAR stood at 19.28% against a regulatory requirement of 15%. However, the committee expressed dissatisfaction with the moderate growth and the increase in the gross NPQ from 4.03% to 4.16% year-over-year. </w:t>
      </w:r>
    </w:p>
    <w:p w14:paraId="31D1C43B" w14:textId="77777777" w:rsidR="001B7D85" w:rsidRPr="001B7D85" w:rsidRDefault="001B7D85" w:rsidP="001B7D85">
      <w:pPr>
        <w:numPr>
          <w:ilvl w:val="0"/>
          <w:numId w:val="2"/>
        </w:numPr>
      </w:pPr>
      <w:r w:rsidRPr="001B7D85">
        <w:rPr>
          <w:b/>
          <w:bCs/>
        </w:rPr>
        <w:t>Statutory Compliance Certificate:</w:t>
      </w:r>
      <w:r w:rsidRPr="001B7D85">
        <w:t xml:space="preserve"> The Statutory Compliance Certificate for the first quarter ending June 30, 2018, was noted. The certificate confirmed that the company was regular in paying all statutory dues and that no legal liabilities were outstanding. The LCR was 156%, with an HQLA position of ₹37.89 crore as of June 30, 2018, which was sufficient to meet the net fund outflow requirement for the next 30 days. </w:t>
      </w:r>
    </w:p>
    <w:p w14:paraId="5761CE0B" w14:textId="77777777" w:rsidR="001B7D85" w:rsidRPr="001B7D85" w:rsidRDefault="001B7D85" w:rsidP="001B7D85">
      <w:pPr>
        <w:numPr>
          <w:ilvl w:val="0"/>
          <w:numId w:val="2"/>
        </w:numPr>
      </w:pPr>
      <w:r w:rsidRPr="001B7D85">
        <w:rPr>
          <w:b/>
          <w:bCs/>
        </w:rPr>
        <w:t>NPQ and SERFNESQ Position:</w:t>
      </w:r>
      <w:r w:rsidRPr="001B7D85">
        <w:t xml:space="preserve"> The NPQ and SERFNESQ position as of June 30, 2018, was reviewed and noted. </w:t>
      </w:r>
    </w:p>
    <w:p w14:paraId="5E2A6831" w14:textId="77777777" w:rsidR="001B7D85" w:rsidRPr="001B7D85" w:rsidRDefault="001B7D85" w:rsidP="001B7D85">
      <w:pPr>
        <w:numPr>
          <w:ilvl w:val="0"/>
          <w:numId w:val="2"/>
        </w:numPr>
      </w:pPr>
      <w:r w:rsidRPr="001B7D85">
        <w:rPr>
          <w:b/>
          <w:bCs/>
        </w:rPr>
        <w:t>Related Party Transactions:</w:t>
      </w:r>
      <w:r w:rsidRPr="001B7D85">
        <w:t xml:space="preserve"> The status of related party transactions with A2B-Head Bank of India for the quarter ended June 30, 2018, was noted. </w:t>
      </w:r>
    </w:p>
    <w:p w14:paraId="1BEC04BB" w14:textId="77777777" w:rsidR="001B7D85" w:rsidRPr="001B7D85" w:rsidRDefault="001B7D85" w:rsidP="001B7D85">
      <w:pPr>
        <w:numPr>
          <w:ilvl w:val="0"/>
          <w:numId w:val="2"/>
        </w:numPr>
      </w:pPr>
      <w:r w:rsidRPr="001B7D85">
        <w:rPr>
          <w:b/>
          <w:bCs/>
        </w:rPr>
        <w:t>Internal Audit Status:</w:t>
      </w:r>
      <w:r w:rsidRPr="001B7D85">
        <w:t xml:space="preserve"> The internal audit status of the company was noted. The document specifies that audit statuses for several branches, including Agra, Bangalore, Bhopal, Gwalior, Indore, Jabalpur, Mumbai, Nashik, New Delhi, Panchkula, Pune, Raipur, and Surat, were marked as "Closure-In-Progress." </w:t>
      </w:r>
    </w:p>
    <w:p w14:paraId="487E471C" w14:textId="77777777" w:rsidR="001B7D85" w:rsidRPr="001B7D85" w:rsidRDefault="001B7D85" w:rsidP="001B7D85">
      <w:pPr>
        <w:numPr>
          <w:ilvl w:val="0"/>
          <w:numId w:val="2"/>
        </w:numPr>
      </w:pPr>
      <w:r w:rsidRPr="001B7D85">
        <w:rPr>
          <w:b/>
          <w:bCs/>
        </w:rPr>
        <w:t>Secretarial Audit Report:</w:t>
      </w:r>
      <w:r w:rsidRPr="001B7D85">
        <w:t xml:space="preserve"> The Secretarial Audit report for the financial year 2019-24 was noted. The report, prepared by Saurabh Agrawal and Co, found no adverse remarks and certified that the company complied with all applicable acts, regulations, and rules. </w:t>
      </w:r>
    </w:p>
    <w:p w14:paraId="2F7ADA75" w14:textId="77777777" w:rsidR="001B7D85" w:rsidRPr="001B7D85" w:rsidRDefault="001B7D85" w:rsidP="001B7D85">
      <w:pPr>
        <w:numPr>
          <w:ilvl w:val="0"/>
          <w:numId w:val="2"/>
        </w:numPr>
      </w:pPr>
      <w:r w:rsidRPr="001B7D85">
        <w:rPr>
          <w:b/>
          <w:bCs/>
        </w:rPr>
        <w:t>Draft Director's Report:</w:t>
      </w:r>
      <w:r w:rsidRPr="001B7D85">
        <w:t xml:space="preserve"> The draft Director's Report for FY 2018-19 was considered and recommended to the Board for approval. The report highlights that the company's profit before tax was ₹35.21 crore and profit after tax was ₹25.10 crore for the year ended March 31, 2018. </w:t>
      </w:r>
    </w:p>
    <w:p w14:paraId="171B99D1" w14:textId="77777777" w:rsidR="001B7D85" w:rsidRPr="001B7D85" w:rsidRDefault="001B7D85" w:rsidP="001B7D85">
      <w:pPr>
        <w:numPr>
          <w:ilvl w:val="0"/>
          <w:numId w:val="2"/>
        </w:numPr>
      </w:pPr>
      <w:r w:rsidRPr="001B7D85">
        <w:rPr>
          <w:b/>
          <w:bCs/>
        </w:rPr>
        <w:t>Information System Audit Report:</w:t>
      </w:r>
      <w:r w:rsidRPr="001B7D85">
        <w:t xml:space="preserve"> The Information System Audit report was reviewed and noted. The report, prepared by </w:t>
      </w:r>
      <w:proofErr w:type="spellStart"/>
      <w:r w:rsidRPr="001B7D85">
        <w:t>ASoft</w:t>
      </w:r>
      <w:proofErr w:type="spellEnd"/>
      <w:r w:rsidRPr="001B7D85">
        <w:t xml:space="preserve"> Infotech </w:t>
      </w:r>
      <w:proofErr w:type="spellStart"/>
      <w:r w:rsidRPr="001B7D85">
        <w:t>Pvt.</w:t>
      </w:r>
      <w:proofErr w:type="spellEnd"/>
      <w:r w:rsidRPr="001B7D85">
        <w:t xml:space="preserve"> Ltd., had an overall risk rating of </w:t>
      </w:r>
      <w:r w:rsidRPr="001B7D85">
        <w:lastRenderedPageBreak/>
        <w:t xml:space="preserve">"Medium." The report noted that while the company's security posture was adequate, some recommendations required immediate attention, including implementing multifactor authentication for the </w:t>
      </w:r>
      <w:proofErr w:type="spellStart"/>
      <w:r w:rsidRPr="001B7D85">
        <w:t>Azentio</w:t>
      </w:r>
      <w:proofErr w:type="spellEnd"/>
      <w:r w:rsidRPr="001B7D85">
        <w:t xml:space="preserve"> Portal. </w:t>
      </w:r>
    </w:p>
    <w:p w14:paraId="18E89C34" w14:textId="77777777" w:rsidR="001B7D85" w:rsidRPr="001B7D85" w:rsidRDefault="001B7D85" w:rsidP="001B7D85">
      <w:pPr>
        <w:numPr>
          <w:ilvl w:val="0"/>
          <w:numId w:val="2"/>
        </w:numPr>
      </w:pPr>
      <w:r w:rsidRPr="001B7D85">
        <w:rPr>
          <w:b/>
          <w:bCs/>
        </w:rPr>
        <w:t>Revised Statutory Auditor's Report:</w:t>
      </w:r>
      <w:r w:rsidRPr="001B7D85">
        <w:t xml:space="preserve"> The committee considered and reviewed the revised Independent Statutory Auditor's Report for the financial year ended March 31, 2018. The report was revised to incorporate observations from the CAG Audit for 2019-20. </w:t>
      </w:r>
    </w:p>
    <w:p w14:paraId="2EBD2FFD" w14:textId="77777777" w:rsidR="001B7D85" w:rsidRPr="001B7D85" w:rsidRDefault="001B7D85" w:rsidP="001B7D85">
      <w:pPr>
        <w:numPr>
          <w:ilvl w:val="0"/>
          <w:numId w:val="2"/>
        </w:numPr>
      </w:pPr>
      <w:r w:rsidRPr="001B7D85">
        <w:rPr>
          <w:b/>
          <w:bCs/>
        </w:rPr>
        <w:t>Any Other Matter:</w:t>
      </w:r>
      <w:r w:rsidRPr="001B7D85">
        <w:t xml:space="preserve"> Any other matter was to be discussed with the permission of the Chair. </w:t>
      </w:r>
    </w:p>
    <w:p w14:paraId="2AE6C01F" w14:textId="77777777" w:rsidR="001B7D85" w:rsidRPr="001B7D85" w:rsidRDefault="001B7D85" w:rsidP="001B7D85">
      <w:r w:rsidRPr="001B7D85">
        <w:rPr>
          <w:b/>
          <w:bCs/>
        </w:rPr>
        <w:t>3. Action Items</w:t>
      </w:r>
    </w:p>
    <w:p w14:paraId="71653C7A" w14:textId="77777777" w:rsidR="001B7D85" w:rsidRPr="001B7D85" w:rsidRDefault="001B7D85" w:rsidP="001B7D85">
      <w:pPr>
        <w:numPr>
          <w:ilvl w:val="0"/>
          <w:numId w:val="3"/>
        </w:numPr>
      </w:pPr>
      <w:r w:rsidRPr="001B7D85">
        <w:rPr>
          <w:b/>
          <w:bCs/>
        </w:rPr>
        <w:t>Harish Naik, Managing Director:</w:t>
      </w:r>
      <w:r w:rsidRPr="001B7D85">
        <w:t xml:space="preserve"> Ensure that the recommendations from the Information System Audit report, particularly the implementation of multifactor authentication for the </w:t>
      </w:r>
      <w:proofErr w:type="spellStart"/>
      <w:r w:rsidRPr="001B7D85">
        <w:t>Azentio</w:t>
      </w:r>
      <w:proofErr w:type="spellEnd"/>
      <w:r w:rsidRPr="001B7D85">
        <w:t xml:space="preserve"> Portal, are addressed promptly.</w:t>
      </w:r>
    </w:p>
    <w:p w14:paraId="53CDFEA5" w14:textId="77777777" w:rsidR="001B7D85" w:rsidRPr="001B7D85" w:rsidRDefault="001B7D85" w:rsidP="001B7D85">
      <w:pPr>
        <w:numPr>
          <w:ilvl w:val="0"/>
          <w:numId w:val="3"/>
        </w:numPr>
      </w:pPr>
      <w:r w:rsidRPr="001B7D85">
        <w:rPr>
          <w:b/>
          <w:bCs/>
        </w:rPr>
        <w:t>Harish Naik, Managing Director:</w:t>
      </w:r>
      <w:r w:rsidRPr="001B7D85">
        <w:t xml:space="preserve"> Follow up with the audit department to ensure the closure of all pending internal audit reports for the branches listed in the meeting documents.</w:t>
      </w:r>
    </w:p>
    <w:p w14:paraId="20AED031" w14:textId="77777777" w:rsidR="001B7D85" w:rsidRPr="001B7D85" w:rsidRDefault="001B7D85" w:rsidP="001B7D85">
      <w:pPr>
        <w:numPr>
          <w:ilvl w:val="0"/>
          <w:numId w:val="3"/>
        </w:numPr>
      </w:pPr>
      <w:r w:rsidRPr="001B7D85">
        <w:rPr>
          <w:b/>
          <w:bCs/>
        </w:rPr>
        <w:t>All Committee Members:</w:t>
      </w:r>
      <w:r w:rsidRPr="001B7D85">
        <w:t xml:space="preserve"> Review the revised Independent Statutory Auditor's Report and approve its inclusion in the 33rd Annual Report.</w:t>
      </w:r>
    </w:p>
    <w:p w14:paraId="2C965176" w14:textId="77777777" w:rsidR="00860853" w:rsidRDefault="00860853"/>
    <w:sectPr w:rsidR="00860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C1310"/>
    <w:multiLevelType w:val="multilevel"/>
    <w:tmpl w:val="0F5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C12F4"/>
    <w:multiLevelType w:val="multilevel"/>
    <w:tmpl w:val="B9C8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537CD"/>
    <w:multiLevelType w:val="multilevel"/>
    <w:tmpl w:val="F11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619946">
    <w:abstractNumId w:val="2"/>
  </w:num>
  <w:num w:numId="2" w16cid:durableId="367605908">
    <w:abstractNumId w:val="0"/>
  </w:num>
  <w:num w:numId="3" w16cid:durableId="657274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D85"/>
    <w:rsid w:val="001B7D85"/>
    <w:rsid w:val="002415A8"/>
    <w:rsid w:val="00860853"/>
    <w:rsid w:val="0093580F"/>
    <w:rsid w:val="00B72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561C"/>
  <w15:chartTrackingRefBased/>
  <w15:docId w15:val="{619E94AD-6DA4-43C5-993E-06B99B85D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D85"/>
    <w:rPr>
      <w:rFonts w:eastAsiaTheme="majorEastAsia" w:cstheme="majorBidi"/>
      <w:color w:val="272727" w:themeColor="text1" w:themeTint="D8"/>
    </w:rPr>
  </w:style>
  <w:style w:type="paragraph" w:styleId="Title">
    <w:name w:val="Title"/>
    <w:basedOn w:val="Normal"/>
    <w:next w:val="Normal"/>
    <w:link w:val="TitleChar"/>
    <w:uiPriority w:val="10"/>
    <w:qFormat/>
    <w:rsid w:val="001B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D85"/>
    <w:pPr>
      <w:spacing w:before="160"/>
      <w:jc w:val="center"/>
    </w:pPr>
    <w:rPr>
      <w:i/>
      <w:iCs/>
      <w:color w:val="404040" w:themeColor="text1" w:themeTint="BF"/>
    </w:rPr>
  </w:style>
  <w:style w:type="character" w:customStyle="1" w:styleId="QuoteChar">
    <w:name w:val="Quote Char"/>
    <w:basedOn w:val="DefaultParagraphFont"/>
    <w:link w:val="Quote"/>
    <w:uiPriority w:val="29"/>
    <w:rsid w:val="001B7D85"/>
    <w:rPr>
      <w:i/>
      <w:iCs/>
      <w:color w:val="404040" w:themeColor="text1" w:themeTint="BF"/>
    </w:rPr>
  </w:style>
  <w:style w:type="paragraph" w:styleId="ListParagraph">
    <w:name w:val="List Paragraph"/>
    <w:basedOn w:val="Normal"/>
    <w:uiPriority w:val="34"/>
    <w:qFormat/>
    <w:rsid w:val="001B7D85"/>
    <w:pPr>
      <w:ind w:left="720"/>
      <w:contextualSpacing/>
    </w:pPr>
  </w:style>
  <w:style w:type="character" w:styleId="IntenseEmphasis">
    <w:name w:val="Intense Emphasis"/>
    <w:basedOn w:val="DefaultParagraphFont"/>
    <w:uiPriority w:val="21"/>
    <w:qFormat/>
    <w:rsid w:val="001B7D85"/>
    <w:rPr>
      <w:i/>
      <w:iCs/>
      <w:color w:val="2F5496" w:themeColor="accent1" w:themeShade="BF"/>
    </w:rPr>
  </w:style>
  <w:style w:type="paragraph" w:styleId="IntenseQuote">
    <w:name w:val="Intense Quote"/>
    <w:basedOn w:val="Normal"/>
    <w:next w:val="Normal"/>
    <w:link w:val="IntenseQuoteChar"/>
    <w:uiPriority w:val="30"/>
    <w:qFormat/>
    <w:rsid w:val="001B7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D85"/>
    <w:rPr>
      <w:i/>
      <w:iCs/>
      <w:color w:val="2F5496" w:themeColor="accent1" w:themeShade="BF"/>
    </w:rPr>
  </w:style>
  <w:style w:type="character" w:styleId="IntenseReference">
    <w:name w:val="Intense Reference"/>
    <w:basedOn w:val="DefaultParagraphFont"/>
    <w:uiPriority w:val="32"/>
    <w:qFormat/>
    <w:rsid w:val="001B7D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Dess</dc:creator>
  <cp:keywords/>
  <dc:description/>
  <cp:lastModifiedBy>Avni Dess</cp:lastModifiedBy>
  <cp:revision>1</cp:revision>
  <dcterms:created xsi:type="dcterms:W3CDTF">2025-10-10T12:43:00Z</dcterms:created>
  <dcterms:modified xsi:type="dcterms:W3CDTF">2025-10-10T12:50:00Z</dcterms:modified>
</cp:coreProperties>
</file>