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tbl>
      <w:tblPr>
        <w:tblStyle w:val="TableGrid"/>
        <w:tblW w:type="auto" w:w="0"/>
        <w:tblLook w:firstColumn="1" w:firstRow="1" w:lastColumn="0" w:lastRow="0" w:noHBand="0" w:noVBand="1" w:val="04A0"/>
      </w:tblPr>
      <w:tblGrid>
        <w:gridCol w:w="9298"/>
      </w:tblGrid>
      <w:tr>
        <w:tc>
          <w:tcPr>
            <w:tcW w:type="dxa" w:w="9298"/>
            <w:shd w:val="clear" w:fill="0A4F59"/>
          </w:tcPr>
          <w:p>
            <w:pPr>
              <w:jc w:val="center"/>
            </w:pPr>
          </w:p>
          <w:p/>
          <w:p>
            <w:pPr>
              <w:jc w:val="center"/>
            </w:pPr>
            <w:r>
              <w:rPr>
                <w:b/>
                <w:color w:val="FFFFFF"/>
                <w:sz w:val="56"/>
              </w:rPr>
              <w:t>RÈGLEMENT INTÉRIEUR</w:t>
            </w:r>
          </w:p>
          <w:p>
            <w:pPr>
              <w:jc w:val="center"/>
            </w:pPr>
            <w:r>
              <w:rPr>
                <w:color w:val="BFF0F5"/>
                <w:sz w:val="26"/>
              </w:rPr>
              <w:t>du Comité social et économique (CSE)</w:t>
            </w:r>
          </w:p>
          <w:p/>
        </w:tc>
      </w:tr>
    </w:tbl>
    <w:p>
      <w:pPr>
        <w:jc w:val="center"/>
      </w:pPr>
    </w:p>
    <w:tbl>
      <w:tblPr>
        <w:tblW w:type="auto" w:w="0"/>
        <w:jc w:val="center"/>
        <w:tblLook w:firstColumn="1" w:firstRow="1" w:lastColumn="0" w:lastRow="0" w:noHBand="0" w:noVBand="1" w:val="04A0"/>
      </w:tblPr>
      <w:tblGrid>
        <w:gridCol w:w="9632"/>
      </w:tblGrid>
      <w:tr>
        <w:tc>
          <w:tcPr>
            <w:tcW w:type="dxa" w:w="5669"/>
            <w:shd w:val="clear" w:fill="E6F4F5"/>
          </w:tcPr>
          <w:p>
            <w:pPr>
              <w:jc w:val="center"/>
            </w:pPr>
            <w:r>
              <w:rPr>
                <w:b/>
                <w:color w:val="0A4F59"/>
                <w:sz w:val="26"/>
              </w:rPr>
              <w:t>Entreprises de 50 à 299 salariés</w:t>
            </w:r>
          </w:p>
        </w:tc>
      </w:tr>
    </w:tbl>
    <w:p/>
    <w:p/>
    <w:tbl>
      <w:tblPr>
        <w:tblStyle w:val="TableGrid"/>
        <w:tblW w:type="auto" w:w="0"/>
        <w:jc w:val="center"/>
        <w:tblLook w:firstColumn="1" w:firstRow="1" w:lastColumn="0" w:lastRow="0" w:noHBand="0" w:noVBand="1" w:val="04A0"/>
      </w:tblPr>
      <w:tblGrid>
        <w:gridCol w:w="4816"/>
        <w:gridCol w:w="4816"/>
      </w:tblGrid>
      <w:tr>
        <w:tc>
          <w:tcPr>
            <w:tcW w:type="dxa" w:w="4816"/>
          </w:tcPr>
          <w:p>
            <w:r>
              <w:rPr>
                <w:b/>
              </w:rPr>
              <w:t>Entreprise / établissement</w:t>
            </w:r>
          </w:p>
        </w:tc>
        <w:tc>
          <w:tcPr>
            <w:tcW w:type="dxa" w:w="4816"/>
          </w:tcPr>
          <w:p>
            <w:r>
              <w:t>…………………………………………………</w:t>
            </w:r>
          </w:p>
        </w:tc>
      </w:tr>
      <w:tr>
        <w:tc>
          <w:tcPr>
            <w:tcW w:type="dxa" w:w="4816"/>
          </w:tcPr>
          <w:p>
            <w:r>
              <w:rPr>
                <w:b/>
              </w:rPr>
              <w:t>Effectif</w:t>
            </w:r>
          </w:p>
        </w:tc>
        <w:tc>
          <w:tcPr>
            <w:tcW w:type="dxa" w:w="4816"/>
          </w:tcPr>
          <w:p>
            <w:r>
              <w:t>…………………</w:t>
            </w:r>
          </w:p>
        </w:tc>
      </w:tr>
      <w:tr>
        <w:tc>
          <w:tcPr>
            <w:tcW w:type="dxa" w:w="4816"/>
          </w:tcPr>
          <w:p>
            <w:r>
              <w:rPr>
                <w:b/>
              </w:rPr>
              <w:t>Date d'adoption (résolution du CSE)</w:t>
            </w:r>
          </w:p>
        </w:tc>
        <w:tc>
          <w:tcPr>
            <w:tcW w:type="dxa" w:w="4816"/>
          </w:tcPr>
          <w:p>
            <w:r>
              <w:t>…… / …… / ………</w:t>
            </w:r>
          </w:p>
        </w:tc>
      </w:tr>
      <w:tr>
        <w:tc>
          <w:tcPr>
            <w:tcW w:type="dxa" w:w="4816"/>
          </w:tcPr>
          <w:p>
            <w:r>
              <w:rPr>
                <w:b/>
              </w:rPr>
              <w:t>Version</w:t>
            </w:r>
          </w:p>
        </w:tc>
        <w:tc>
          <w:tcPr>
            <w:tcW w:type="dxa" w:w="4816"/>
          </w:tcPr>
          <w:p>
            <w:r>
              <w:t>1.0</w:t>
            </w:r>
          </w:p>
        </w:tc>
      </w:tr>
    </w:tbl>
    <w:p/>
    <w:p/>
    <w:p>
      <w:pPr>
        <w:jc w:val="center"/>
      </w:pPr>
      <w:r>
        <w:rPr>
          <w:i/>
          <w:color w:val="5B7178"/>
          <w:sz w:val="18"/>
        </w:rPr>
        <w:t>Modèle fourni par Destination Prévention — destprev.github.io/Formation-CSE</w:t>
      </w:r>
    </w:p>
    <w:p>
      <w:r>
        <w:br w:type="page"/>
      </w:r>
    </w:p>
    <w:p>
      <w:pPr>
        <w:pStyle w:val="Heading1"/>
      </w:pPr>
      <w:r>
        <w:t>Sommaire</w:t>
      </w:r>
    </w:p>
    <w:p>
      <w:r>
        <w:rPr>
          <w:i/>
          <w:color w:val="5B7178"/>
          <w:sz w:val="19"/>
        </w:rPr>
        <w:t>Cliquez sur un titre pour accéder directement à l'article correspondant.</w:t>
      </w:r>
    </w:p>
    <w:p>
      <w:pPr>
        <w:spacing w:after="60"/>
      </w:pPr>
      <w:hyperlink w:anchor="sec1">
        <w:r>
          <w:rPr>
            <w:color w:val="0A4F59"/>
            <w:sz w:val="22"/>
          </w:rPr>
          <w:t xml:space="preserve"> 1.   Avertissement</w:t>
        </w:r>
      </w:hyperlink>
    </w:p>
    <w:p>
      <w:pPr>
        <w:spacing w:after="60"/>
      </w:pPr>
      <w:hyperlink w:anchor="sec2">
        <w:r>
          <w:rPr>
            <w:color w:val="0A4F59"/>
            <w:sz w:val="22"/>
          </w:rPr>
          <w:t xml:space="preserve"> 2.   Préambule</w:t>
        </w:r>
      </w:hyperlink>
    </w:p>
    <w:p>
      <w:pPr>
        <w:spacing w:after="60"/>
      </w:pPr>
      <w:hyperlink w:anchor="sec3">
        <w:r>
          <w:rPr>
            <w:color w:val="0A4F59"/>
            <w:sz w:val="22"/>
          </w:rPr>
          <w:t xml:space="preserve"> 3.   Objet et champ d'application</w:t>
        </w:r>
      </w:hyperlink>
    </w:p>
    <w:p>
      <w:pPr>
        <w:spacing w:after="60"/>
      </w:pPr>
      <w:hyperlink w:anchor="sec4">
        <w:r>
          <w:rPr>
            <w:color w:val="0A4F59"/>
            <w:sz w:val="22"/>
          </w:rPr>
          <w:t xml:space="preserve"> 4.   Composition du CSE</w:t>
        </w:r>
      </w:hyperlink>
    </w:p>
    <w:p>
      <w:pPr>
        <w:spacing w:after="60"/>
      </w:pPr>
      <w:hyperlink w:anchor="sec5">
        <w:r>
          <w:rPr>
            <w:color w:val="0A4F59"/>
            <w:sz w:val="22"/>
          </w:rPr>
          <w:t xml:space="preserve"> 5.   Le bureau du CSE</w:t>
        </w:r>
      </w:hyperlink>
    </w:p>
    <w:p>
      <w:pPr>
        <w:spacing w:after="60"/>
      </w:pPr>
      <w:hyperlink w:anchor="sec6">
        <w:r>
          <w:rPr>
            <w:color w:val="0A4F59"/>
            <w:sz w:val="22"/>
          </w:rPr>
          <w:t xml:space="preserve"> 6.   Représentant syndical au CSE</w:t>
        </w:r>
      </w:hyperlink>
    </w:p>
    <w:p>
      <w:pPr>
        <w:spacing w:after="60"/>
      </w:pPr>
      <w:hyperlink w:anchor="sec7">
        <w:r>
          <w:rPr>
            <w:color w:val="0A4F59"/>
            <w:sz w:val="22"/>
          </w:rPr>
          <w:t xml:space="preserve"> 7.   Référent harcèlement sexuel et agissements sexistes</w:t>
        </w:r>
      </w:hyperlink>
    </w:p>
    <w:p>
      <w:pPr>
        <w:spacing w:after="60"/>
      </w:pPr>
      <w:hyperlink w:anchor="sec8">
        <w:r>
          <w:rPr>
            <w:color w:val="0A4F59"/>
            <w:sz w:val="22"/>
          </w:rPr>
          <w:t xml:space="preserve"> 8.   Personnes extérieures et invités</w:t>
        </w:r>
      </w:hyperlink>
    </w:p>
    <w:p>
      <w:pPr>
        <w:spacing w:after="60"/>
      </w:pPr>
      <w:hyperlink w:anchor="sec9">
        <w:r>
          <w:rPr>
            <w:color w:val="0A4F59"/>
            <w:sz w:val="22"/>
          </w:rPr>
          <w:t xml:space="preserve"> 9.   Périodicité et organisation des réunions</w:t>
        </w:r>
      </w:hyperlink>
    </w:p>
    <w:p>
      <w:pPr>
        <w:spacing w:after="60"/>
      </w:pPr>
      <w:hyperlink w:anchor="sec10">
        <w:r>
          <w:rPr>
            <w:color w:val="0A4F59"/>
            <w:sz w:val="22"/>
          </w:rPr>
          <w:t xml:space="preserve">10.   Convocation et ordre du jour</w:t>
        </w:r>
      </w:hyperlink>
    </w:p>
    <w:p>
      <w:pPr>
        <w:spacing w:after="60"/>
      </w:pPr>
      <w:hyperlink w:anchor="sec11">
        <w:r>
          <w:rPr>
            <w:color w:val="0A4F59"/>
            <w:sz w:val="22"/>
          </w:rPr>
          <w:t xml:space="preserve">11.   Recours à la visioconférence</w:t>
        </w:r>
      </w:hyperlink>
    </w:p>
    <w:p>
      <w:pPr>
        <w:spacing w:after="60"/>
      </w:pPr>
      <w:hyperlink w:anchor="sec12">
        <w:r>
          <w:rPr>
            <w:color w:val="0A4F59"/>
            <w:sz w:val="22"/>
          </w:rPr>
          <w:t xml:space="preserve">12.   Déroulement, votes et délibérations</w:t>
        </w:r>
      </w:hyperlink>
    </w:p>
    <w:p>
      <w:pPr>
        <w:spacing w:after="60"/>
      </w:pPr>
      <w:hyperlink w:anchor="sec13">
        <w:r>
          <w:rPr>
            <w:color w:val="0A4F59"/>
            <w:sz w:val="22"/>
          </w:rPr>
          <w:t xml:space="preserve">13.   Procès-verbal des réunions</w:t>
        </w:r>
      </w:hyperlink>
    </w:p>
    <w:p>
      <w:pPr>
        <w:spacing w:after="60"/>
      </w:pPr>
      <w:hyperlink w:anchor="sec14">
        <w:r>
          <w:rPr>
            <w:color w:val="0A4F59"/>
            <w:sz w:val="22"/>
          </w:rPr>
          <w:t xml:space="preserve">14.   Obligation de discrétion et confidentialité</w:t>
        </w:r>
      </w:hyperlink>
    </w:p>
    <w:p>
      <w:pPr>
        <w:spacing w:after="60"/>
      </w:pPr>
      <w:hyperlink w:anchor="sec15">
        <w:r>
          <w:rPr>
            <w:color w:val="0A4F59"/>
            <w:sz w:val="22"/>
          </w:rPr>
          <w:t xml:space="preserve">15.   Attributions du CSE</w:t>
        </w:r>
      </w:hyperlink>
    </w:p>
    <w:p>
      <w:pPr>
        <w:spacing w:after="60"/>
      </w:pPr>
      <w:hyperlink w:anchor="sec16">
        <w:r>
          <w:rPr>
            <w:color w:val="0A4F59"/>
            <w:sz w:val="22"/>
          </w:rPr>
          <w:t xml:space="preserve">16.   Santé, sécurité et conditions de travail</w:t>
        </w:r>
      </w:hyperlink>
    </w:p>
    <w:p>
      <w:pPr>
        <w:spacing w:after="60"/>
      </w:pPr>
      <w:hyperlink w:anchor="sec17">
        <w:r>
          <w:rPr>
            <w:color w:val="0A4F59"/>
            <w:sz w:val="22"/>
          </w:rPr>
          <w:t xml:space="preserve">17.   Les commissions</w:t>
        </w:r>
      </w:hyperlink>
    </w:p>
    <w:p>
      <w:pPr>
        <w:spacing w:after="60"/>
      </w:pPr>
      <w:hyperlink w:anchor="sec18">
        <w:r>
          <w:rPr>
            <w:color w:val="0A4F59"/>
            <w:sz w:val="22"/>
          </w:rPr>
          <w:t xml:space="preserve">18.   Heures de délégation</w:t>
        </w:r>
      </w:hyperlink>
    </w:p>
    <w:p>
      <w:pPr>
        <w:spacing w:after="60"/>
      </w:pPr>
      <w:hyperlink w:anchor="sec19">
        <w:r>
          <w:rPr>
            <w:color w:val="0A4F59"/>
            <w:sz w:val="22"/>
          </w:rPr>
          <w:t xml:space="preserve">19.   Local et moyens matériels</w:t>
        </w:r>
      </w:hyperlink>
    </w:p>
    <w:p>
      <w:pPr>
        <w:spacing w:after="60"/>
      </w:pPr>
      <w:hyperlink w:anchor="sec20">
        <w:r>
          <w:rPr>
            <w:color w:val="0A4F59"/>
            <w:sz w:val="22"/>
          </w:rPr>
          <w:t xml:space="preserve">20.   Budgets et gestion financière</w:t>
        </w:r>
      </w:hyperlink>
    </w:p>
    <w:p>
      <w:pPr>
        <w:spacing w:after="60"/>
      </w:pPr>
      <w:hyperlink w:anchor="sec21">
        <w:r>
          <w:rPr>
            <w:color w:val="0A4F59"/>
            <w:sz w:val="22"/>
          </w:rPr>
          <w:t xml:space="preserve">21.   Recours aux experts</w:t>
        </w:r>
      </w:hyperlink>
    </w:p>
    <w:p>
      <w:pPr>
        <w:spacing w:after="60"/>
      </w:pPr>
      <w:hyperlink w:anchor="sec22">
        <w:r>
          <w:rPr>
            <w:color w:val="0A4F59"/>
            <w:sz w:val="22"/>
          </w:rPr>
          <w:t xml:space="preserve">22.   Assurance et responsabilité</w:t>
        </w:r>
      </w:hyperlink>
    </w:p>
    <w:p>
      <w:pPr>
        <w:spacing w:after="60"/>
      </w:pPr>
      <w:hyperlink w:anchor="sec23">
        <w:r>
          <w:rPr>
            <w:color w:val="0A4F59"/>
            <w:sz w:val="22"/>
          </w:rPr>
          <w:t xml:space="preserve">23.   Formation des élus</w:t>
        </w:r>
      </w:hyperlink>
    </w:p>
    <w:p>
      <w:pPr>
        <w:spacing w:after="60"/>
      </w:pPr>
      <w:hyperlink w:anchor="sec24">
        <w:r>
          <w:rPr>
            <w:color w:val="0A4F59"/>
            <w:sz w:val="22"/>
          </w:rPr>
          <w:t xml:space="preserve">24.   Représentants de proximité</w:t>
        </w:r>
      </w:hyperlink>
    </w:p>
    <w:p>
      <w:pPr>
        <w:spacing w:after="60"/>
      </w:pPr>
      <w:hyperlink w:anchor="sec25">
        <w:r>
          <w:rPr>
            <w:color w:val="0A4F59"/>
            <w:sz w:val="22"/>
          </w:rPr>
          <w:t xml:space="preserve">25.   Durée, révision et publicité du règlement intérieur</w:t>
        </w:r>
      </w:hyperlink>
    </w:p>
    <w:p>
      <w:r>
        <w:br w:type="page"/>
      </w:r>
    </w:p>
    <w:p>
      <w:pPr>
        <w:pStyle w:val="Heading1"/>
      </w:pPr>
      <w:bookmarkStart w:id="2019" w:name="sec1"/>
      <w:r>
        <w:rPr>
          <w:color w:val="15909F"/>
        </w:rPr>
        <w:t xml:space="preserve">1.  </w:t>
      </w:r>
      <w:r>
        <w:t>Avertissement</w:t>
      </w:r>
      <w:bookmarkEnd w:id="2019"/>
    </w:p>
    <w:p>
      <w:r>
        <w:rPr>
          <w:i/>
          <w:color w:val="5B7178"/>
          <w:sz w:val="19"/>
        </w:rPr>
        <w:t>Ce règlement intérieur est un modèle de synthèse, conforme aux dispositions du Code du travail en vigueur. Il doit être complété (mentions entre crochets […] et pointillés) et adapté à la situation réelle de l'entreprise ainsi qu'aux accords collectifs applicables, qui peuvent prévoir des règles plus favorables. Il ne se substitue pas à un conseil juridique personnalisé.</w:t>
      </w:r>
    </w:p>
    <w:p>
      <w:pPr>
        <w:pStyle w:val="Heading1"/>
      </w:pPr>
      <w:bookmarkStart w:id="2020" w:name="sec2"/>
      <w:r>
        <w:rPr>
          <w:color w:val="15909F"/>
        </w:rPr>
        <w:t xml:space="preserve">2.  </w:t>
      </w:r>
      <w:r>
        <w:t>Préambule</w:t>
      </w:r>
      <w:bookmarkEnd w:id="2020"/>
    </w:p>
    <w:p>
      <w:r>
        <w:t>Le présent règlement intérieur est établi en application de l'article L. 2315-24 du Code du travail, qui impose au comité social et économique des entreprises d'au moins 50 salariés de déterminer, dans un règlement intérieur, les modalités de son fonctionnement et de ses rapports avec les salariés, pour l'exercice des missions qui lui sont confiées.</w:t>
      </w:r>
    </w:p>
    <w:p>
      <w:r>
        <w:t>Il est adopté par une résolution prise à la majorité des membres présents disposant d'une voix délibérative. Une fois adopté, il s'impose à l'employeur comme aux membres du comité. Il ne peut imposer à l'employeur des obligations ne résultant ni de la loi ni d'un accord, sauf engagement exprès de sa part. Il est révisable à tout moment par voie de résolution.</w:t>
      </w:r>
    </w:p>
    <w:p>
      <w:pPr>
        <w:pStyle w:val="Heading1"/>
      </w:pPr>
      <w:bookmarkStart w:id="2021" w:name="sec3"/>
      <w:r>
        <w:rPr>
          <w:color w:val="15909F"/>
        </w:rPr>
        <w:t xml:space="preserve">3.  </w:t>
      </w:r>
      <w:r>
        <w:t>Objet et champ d'application</w:t>
      </w:r>
      <w:bookmarkEnd w:id="2021"/>
    </w:p>
    <w:p>
      <w:r>
        <w:t>Le présent règlement s'applique au comité social et économique de l'entreprise […], à ses membres et, pour les dispositions qui les concernent, aux salariés.</w:t>
      </w:r>
    </w:p>
    <w:p>
      <w:pPr>
        <w:pStyle w:val="Heading1"/>
      </w:pPr>
      <w:bookmarkStart w:id="2022" w:name="sec4"/>
      <w:r>
        <w:rPr>
          <w:color w:val="15909F"/>
        </w:rPr>
        <w:t xml:space="preserve">4.  </w:t>
      </w:r>
      <w:r>
        <w:t>Composition du CSE</w:t>
      </w:r>
      <w:bookmarkEnd w:id="2022"/>
    </w:p>
    <w:p>
      <w:r>
        <w:t>Le CSE comprend l'employeur (ou son représentant), président de l'instance, et une délégation du personnel composée d'un nombre égal de titulaires et de suppléants, fixé en fonction de l'effectif (art. L. 2314-1 et R. 2314-1 du Code du travail).</w:t>
      </w:r>
    </w:p>
    <w:p>
      <w:r>
        <w:t>Le président peut être assisté de collaborateurs ; ensemble, ils ne peuvent être en nombre supérieur à celui des représentants titulaires du personnel (art. L. 2315-23).</w:t>
      </w:r>
    </w:p>
    <w:p>
      <w:r>
        <w:t>Conformément à l'article L. 2314-1, le suppléant n'assiste aux réunions qu'en l'absence du titulaire ; il reçoit néanmoins l'ordre du jour et les documents pour pouvoir, le cas échéant, remplacer un titulaire.</w:t>
      </w:r>
    </w:p>
    <w:p>
      <w:pPr>
        <w:pStyle w:val="Heading1"/>
      </w:pPr>
      <w:bookmarkStart w:id="2023" w:name="sec5"/>
      <w:r>
        <w:rPr>
          <w:color w:val="15909F"/>
        </w:rPr>
        <w:t xml:space="preserve">5.  </w:t>
      </w:r>
      <w:r>
        <w:t>Le bureau du CSE</w:t>
      </w:r>
      <w:bookmarkEnd w:id="2023"/>
    </w:p>
    <w:p>
      <w:r>
        <w:t>Le CSE désigne, parmi ses membres titulaires, un secrétaire et un trésorier (art. L. 2315-23). Il peut désigner un secrétaire adjoint et un trésorier adjoint, choisis parmi les titulaires ou les suppléants.</w:t>
      </w:r>
    </w:p>
    <w:p>
      <w:pPr>
        <w:pStyle w:val="Heading2"/>
      </w:pPr>
      <w:r>
        <w:t>Attributions du secrétaire</w:t>
      </w:r>
    </w:p>
    <w:p>
      <w:pPr>
        <w:pStyle w:val="ListBullet"/>
      </w:pPr>
      <w:r>
        <w:t>Élaborer conjointement l'ordre du jour des réunions avec le président.</w:t>
      </w:r>
    </w:p>
    <w:p>
      <w:pPr>
        <w:pStyle w:val="ListBullet"/>
      </w:pPr>
      <w:r>
        <w:t>Établir et diffuser le procès-verbal des réunions.</w:t>
      </w:r>
    </w:p>
    <w:p>
      <w:pPr>
        <w:pStyle w:val="ListBullet"/>
      </w:pPr>
      <w:r>
        <w:t>Assurer la liaison entre le comité, les salariés et les tiers (inspection du travail, experts, fournisseurs) et veiller à la conservation des archives.</w:t>
      </w:r>
    </w:p>
    <w:p>
      <w:pPr>
        <w:pStyle w:val="ListBullet"/>
      </w:pPr>
      <w:r>
        <w:t>Veiller à la mise à disposition des documents dans la base de données économiques, sociales et environnementales (BDESE).</w:t>
      </w:r>
    </w:p>
    <w:p>
      <w:pPr>
        <w:pStyle w:val="Heading2"/>
      </w:pPr>
      <w:r>
        <w:t>Attributions du trésorier</w:t>
      </w:r>
    </w:p>
    <w:p>
      <w:pPr>
        <w:pStyle w:val="ListBullet"/>
      </w:pPr>
      <w:r>
        <w:t>Assurer la gestion financière et comptable du CSE et la tenue des comptes.</w:t>
      </w:r>
    </w:p>
    <w:p>
      <w:pPr>
        <w:pStyle w:val="ListBullet"/>
      </w:pPr>
      <w:r>
        <w:t>Procéder au règlement des factures et à la gestion des deux budgets (fonctionnement et activités sociales et culturelles).</w:t>
      </w:r>
    </w:p>
    <w:p>
      <w:pPr>
        <w:pStyle w:val="ListBullet"/>
      </w:pPr>
      <w:r>
        <w:t>Présenter le rapport annuel sur les conventions passées entre le CSE et l'un de ses membres, ainsi que le compte rendu annuel de gestion.</w:t>
      </w:r>
    </w:p>
    <w:p>
      <w:pPr>
        <w:pStyle w:val="Heading1"/>
      </w:pPr>
      <w:bookmarkStart w:id="2024" w:name="sec6"/>
      <w:r>
        <w:rPr>
          <w:color w:val="15909F"/>
        </w:rPr>
        <w:t xml:space="preserve">6.  </w:t>
      </w:r>
      <w:r>
        <w:t>Représentant syndical au CSE</w:t>
      </w:r>
      <w:bookmarkEnd w:id="2024"/>
    </w:p>
    <w:p>
      <w:r>
        <w:t>Dans les entreprises de moins de 300 salariés, le délégué syndical est, de droit, représentant syndical au CSE (art. L. 2143-22). Il assiste aux réunions avec voix consultative.</w:t>
      </w:r>
    </w:p>
    <w:p>
      <w:pPr>
        <w:pStyle w:val="Heading1"/>
      </w:pPr>
      <w:bookmarkStart w:id="2025" w:name="sec7"/>
      <w:r>
        <w:rPr>
          <w:color w:val="15909F"/>
        </w:rPr>
        <w:t xml:space="preserve">7.  </w:t>
      </w:r>
      <w:r>
        <w:t>Référent harcèlement sexuel et agissements sexistes</w:t>
      </w:r>
      <w:bookmarkEnd w:id="2025"/>
    </w:p>
    <w:p>
      <w:r>
        <w:t>Le CSE désigne, parmi ses membres, un référent en matière de lutte contre le harcèlement sexuel et les agissements sexistes, pour une durée prenant fin avec celle du mandat des membres élus (art. L. 2314-1). Ses coordonnées sont portées à la connaissance des salariés.</w:t>
      </w:r>
    </w:p>
    <w:p>
      <w:pPr>
        <w:pStyle w:val="Heading1"/>
      </w:pPr>
      <w:bookmarkStart w:id="2026" w:name="sec8"/>
      <w:r>
        <w:rPr>
          <w:color w:val="15909F"/>
        </w:rPr>
        <w:t xml:space="preserve">8.  </w:t>
      </w:r>
      <w:r>
        <w:t>Personnes extérieures et invités</w:t>
      </w:r>
      <w:bookmarkEnd w:id="2026"/>
    </w:p>
    <w:p>
      <w:r>
        <w:t>À titre consultatif et occasionnel, le comité peut faire appel au concours de toute personne de l'entreprise qui lui paraît qualifiée (art. L. 2312-13). La présence d'un tiers extérieur requiert l'accord conjoint du président et de la majorité des membres élus.</w:t>
      </w:r>
    </w:p>
    <w:p>
      <w:pPr>
        <w:pStyle w:val="Heading1"/>
      </w:pPr>
      <w:bookmarkStart w:id="2027" w:name="sec9"/>
      <w:r>
        <w:rPr>
          <w:color w:val="15909F"/>
        </w:rPr>
        <w:t xml:space="preserve">9.  </w:t>
      </w:r>
      <w:r>
        <w:t>Périodicité et organisation des réunions</w:t>
      </w:r>
      <w:bookmarkEnd w:id="2027"/>
    </w:p>
    <w:p>
      <w:r>
        <w:t>Le CSE se réunit sur convocation de l'employeur au moins une fois tous les deux mois (art. L. 2315-28). Au moins quatre réunions par an portent, en tout ou partie, sur les attributions du comité en matière de santé, de sécurité et de conditions de travail (art. L. 2315-27).</w:t>
      </w:r>
    </w:p>
    <w:p>
      <w:r>
        <w:t>Un calendrier annuel prévisionnel des réunions est arrêté en début d'année. Des réunions extraordinaires peuvent se tenir à l'initiative de l'employeur ou à la demande de la majorité des membres (et, pour les questions de santé et sécurité, à la demande motivée de deux membres).</w:t>
      </w:r>
    </w:p>
    <w:p>
      <w:r>
        <w:t>Pour les réunions portant sur la santé, la sécurité et les conditions de travail sont invités, avec un délai de prévenance, le médecin du travail, le responsable interne du service de sécurité, l'agent de contrôle de l'inspection du travail et l'agent de prévention de la CARSAT (art. L. 2315-27).</w:t>
      </w:r>
    </w:p>
    <w:p>
      <w:pPr>
        <w:pStyle w:val="Heading1"/>
      </w:pPr>
      <w:bookmarkStart w:id="2028" w:name="sec10"/>
      <w:r>
        <w:rPr>
          <w:color w:val="15909F"/>
        </w:rPr>
        <w:t xml:space="preserve">10.  </w:t>
      </w:r>
      <w:r>
        <w:t>Convocation et ordre du jour</w:t>
      </w:r>
      <w:bookmarkEnd w:id="2028"/>
    </w:p>
    <w:p>
      <w:r>
        <w:t>L'ordre du jour est arrêté conjointement par le président et le secrétaire. Les consultations rendues obligatoires par une disposition légale ou conventionnelle y sont inscrites de plein droit, même en cas de désaccord. L'ordre du jour est communiqué aux membres au moins trois jours avant la réunion, accompagné le cas échéant des documents nécessaires.</w:t>
      </w:r>
    </w:p>
    <w:p>
      <w:pPr>
        <w:pStyle w:val="Heading1"/>
      </w:pPr>
      <w:bookmarkStart w:id="2029" w:name="sec11"/>
      <w:r>
        <w:rPr>
          <w:color w:val="15909F"/>
        </w:rPr>
        <w:t xml:space="preserve">11.  </w:t>
      </w:r>
      <w:r>
        <w:t>Recours à la visioconférence</w:t>
      </w:r>
      <w:bookmarkEnd w:id="2029"/>
    </w:p>
    <w:p>
      <w:r>
        <w:t>Le recours à la visioconférence peut être autorisé par accord entre l'employeur et les membres élus. À défaut d'accord, ce recours est limité à trois réunions par année civile (art. L. 2315-4). Le dispositif doit garantir l'identification des participants et la confidentialité des votes lorsqu'ils sont requis.</w:t>
      </w:r>
    </w:p>
    <w:p>
      <w:pPr>
        <w:pStyle w:val="Heading1"/>
      </w:pPr>
      <w:bookmarkStart w:id="2030" w:name="sec12"/>
      <w:r>
        <w:rPr>
          <w:color w:val="15909F"/>
        </w:rPr>
        <w:t xml:space="preserve">12.  </w:t>
      </w:r>
      <w:r>
        <w:t>Déroulement, votes et délibérations</w:t>
      </w:r>
      <w:bookmarkEnd w:id="2030"/>
    </w:p>
    <w:p>
      <w:r>
        <w:t>Le président ouvre, dirige et clôt les débats. Seuls les membres titulaires (ou les suppléants remplaçant un titulaire absent) disposent d'une voix délibérative.</w:t>
      </w:r>
    </w:p>
    <w:p>
      <w:r>
        <w:t>Les résolutions sont adoptées à la majorité des membres présents. Le président ne participe pas au vote lorsqu'il consulte les membres élus en tant que délégation du personnel. Les votes relatifs aux personnes ont lieu à bulletin secret.</w:t>
      </w:r>
    </w:p>
    <w:p>
      <w:pPr>
        <w:pStyle w:val="Heading1"/>
      </w:pPr>
      <w:bookmarkStart w:id="2031" w:name="sec13"/>
      <w:r>
        <w:rPr>
          <w:color w:val="15909F"/>
        </w:rPr>
        <w:t xml:space="preserve">13.  </w:t>
      </w:r>
      <w:r>
        <w:t>Procès-verbal des réunions</w:t>
      </w:r>
      <w:bookmarkEnd w:id="2031"/>
    </w:p>
    <w:p>
      <w:r>
        <w:t>Les délibérations sont consignées dans un procès-verbal établi par le secrétaire et communiqué à l'employeur et aux membres du comité. À défaut d'accord fixant un autre délai, le procès-verbal est établi et transmis à l'employeur dans les quinze jours suivant la réunion (ou avant la réunion suivante si elle intervient plus tôt). Après approbation, il peut être affiché ou diffusé selon les modalités définies par le comité.</w:t>
      </w:r>
    </w:p>
    <w:p>
      <w:pPr>
        <w:pStyle w:val="Heading1"/>
      </w:pPr>
      <w:bookmarkStart w:id="2032" w:name="sec14"/>
      <w:r>
        <w:rPr>
          <w:color w:val="15909F"/>
        </w:rPr>
        <w:t xml:space="preserve">14.  </w:t>
      </w:r>
      <w:r>
        <w:t>Obligation de discrétion et confidentialité</w:t>
      </w:r>
      <w:bookmarkEnd w:id="2032"/>
    </w:p>
    <w:p>
      <w:r>
        <w:t>Les membres du comité et les représentants syndicaux sont tenus à une obligation de discrétion à l'égard des informations revêtant un caractère confidentiel et présentées comme telles par l'employeur (art. L. 2315-3). Ils sont en outre tenus au secret professionnel pour les questions relatives aux procédés de fabrication.</w:t>
      </w:r>
    </w:p>
    <w:p>
      <w:pPr>
        <w:pStyle w:val="Heading1"/>
      </w:pPr>
      <w:bookmarkStart w:id="2033" w:name="sec15"/>
      <w:r>
        <w:rPr>
          <w:color w:val="15909F"/>
        </w:rPr>
        <w:t xml:space="preserve">15.  </w:t>
      </w:r>
      <w:r>
        <w:t>Attributions du CSE</w:t>
      </w:r>
      <w:bookmarkEnd w:id="2033"/>
    </w:p>
    <w:p>
      <w:r>
        <w:t>Le CSE a pour mission d'assurer l'expression collective des salariés et la prise en compte permanente de leurs intérêts dans les décisions relatives à la gestion et à l'évolution économique et financière de l'entreprise, à l'organisation du travail, à la formation professionnelle et aux techniques de production (art. L. 2312-8).</w:t>
      </w:r>
    </w:p>
    <w:p>
      <w:pPr>
        <w:pStyle w:val="Heading2"/>
      </w:pPr>
      <w:r>
        <w:t>Consultations récurrentes</w:t>
      </w:r>
    </w:p>
    <w:p>
      <w:r>
        <w:t>En l'absence d'accord, le comité est consulté chaque année sur (art. L. 2312-17) : les orientations stratégiques de l'entreprise ; la situation économique et financière ; la politique sociale, les conditions de travail et l'emploi.</w:t>
      </w:r>
    </w:p>
    <w:p>
      <w:pPr>
        <w:pStyle w:val="Heading2"/>
      </w:pPr>
      <w:r>
        <w:t>Consultations ponctuelles</w:t>
      </w:r>
    </w:p>
    <w:p>
      <w:r>
        <w:t>Le comité est consulté, préalablement à toute décision, sur les projets importants : mesures affectant le volume ou la structure des effectifs, modification de l'organisation économique ou juridique, conditions d'emploi et de travail, introduction de nouvelles technologies, restructuration et compression des effectifs, licenciement collectif pour motif économique, etc.</w:t>
      </w:r>
    </w:p>
    <w:p>
      <w:pPr>
        <w:pStyle w:val="Heading2"/>
      </w:pPr>
      <w:r>
        <w:t>Activités sociales et culturelles</w:t>
      </w:r>
    </w:p>
    <w:p>
      <w:r>
        <w:t>Le comité assure, contrôle ou participe à la gestion des activités sociales et culturelles établies dans l'entreprise au bénéfice des salariés et de leur famille (art. L. 2312-78 et R. 2312-35).</w:t>
      </w:r>
    </w:p>
    <w:p>
      <w:pPr>
        <w:pStyle w:val="Heading1"/>
      </w:pPr>
      <w:bookmarkStart w:id="2034" w:name="sec16"/>
      <w:r>
        <w:rPr>
          <w:color w:val="15909F"/>
        </w:rPr>
        <w:t xml:space="preserve">16.  </w:t>
      </w:r>
      <w:r>
        <w:t>Santé, sécurité et conditions de travail</w:t>
      </w:r>
      <w:bookmarkEnd w:id="2034"/>
    </w:p>
    <w:p>
      <w:r>
        <w:t>Le comité exerce les attributions en matière de santé, de sécurité et de conditions de travail : analyse des risques professionnels, inspections régulières, enquêtes après accident ou maladie professionnelle, promotion de la prévention et propositions d'amélioration (art. L. 2312-9).</w:t>
      </w:r>
    </w:p>
    <w:p>
      <w:r>
        <w:t>À ce seuil d'effectif, la création d'une commission santé, sécurité et conditions de travail n'est pas obligatoire, sauf dans les établissements concernés (sites classés Seveso, installations nucléaires) ou sur décision de l'inspection du travail. Une CSSCT peut néanmoins être instituée par accord (art. L. 2315-43) ; ses modalités seraient alors annexées au présent règlement.</w:t>
      </w:r>
    </w:p>
    <w:p>
      <w:pPr>
        <w:pStyle w:val="Heading1"/>
      </w:pPr>
      <w:bookmarkStart w:id="2035" w:name="sec17"/>
      <w:r>
        <w:rPr>
          <w:color w:val="15909F"/>
        </w:rPr>
        <w:t xml:space="preserve">17.  </w:t>
      </w:r>
      <w:r>
        <w:t>Les commissions</w:t>
      </w:r>
      <w:bookmarkEnd w:id="2035"/>
    </w:p>
    <w:p>
      <w:r>
        <w:t>À ce seuil d'effectif, la mise en place de commissions facultatives (formation, égalité professionnelle, information et aide au logement) relève d'un accord d'entreprise (art. L. 2315-45). Une commission des marchés est obligatoire lorsque le comité dépasse, à la clôture d'un exercice, deux des trois seuils définis à l'article L. 2315-44-1.</w:t>
      </w:r>
    </w:p>
    <w:p>
      <w:pPr>
        <w:pStyle w:val="Heading1"/>
      </w:pPr>
      <w:bookmarkStart w:id="2036" w:name="sec18"/>
      <w:r>
        <w:rPr>
          <w:color w:val="15909F"/>
        </w:rPr>
        <w:t xml:space="preserve">18.  </w:t>
      </w:r>
      <w:r>
        <w:t>Heures de délégation</w:t>
      </w:r>
      <w:bookmarkEnd w:id="2036"/>
    </w:p>
    <w:p>
      <w:r>
        <w:t>Les membres titulaires disposent d'un crédit d'heures mensuel fixé en fonction de l'effectif (art. L. 2315-7 et R. 2314-1). Le temps passé en délégation est de plein droit considéré et payé comme temps de travail à l'échéance normale.</w:t>
      </w:r>
    </w:p>
    <w:p>
      <w:r>
        <w:t>Les titulaires peuvent reporter leurs heures d'un mois sur l'autre dans la limite de douze mois (art. L. 2315-8) et les répartir entre eux et avec les suppléants (art. L. 2315-9), sans qu'un membre puisse disposer, sur un mois, de plus d'une fois et demie son crédit mensuel. L'employeur en est informé au moins huit jours à l'avance. L'usage d'un bon de délégation, à titre informatif, peut être convenu pour le suivi des heures.</w:t>
      </w:r>
    </w:p>
    <w:p>
      <w:pPr>
        <w:pStyle w:val="Heading1"/>
      </w:pPr>
      <w:bookmarkStart w:id="2037" w:name="sec19"/>
      <w:r>
        <w:rPr>
          <w:color w:val="15909F"/>
        </w:rPr>
        <w:t xml:space="preserve">19.  </w:t>
      </w:r>
      <w:r>
        <w:t>Local et moyens matériels</w:t>
      </w:r>
      <w:bookmarkEnd w:id="2037"/>
    </w:p>
    <w:p>
      <w:r>
        <w:t>L'employeur met à la disposition du comité un local aménagé et le matériel nécessaire à l'exercice de ses fonctions (art. L. 2315-20). Les modalités d'utilisation du local, des panneaux d'affichage et des moyens de communication sont précisées en annexe.</w:t>
      </w:r>
    </w:p>
    <w:p>
      <w:pPr>
        <w:pStyle w:val="Heading1"/>
      </w:pPr>
      <w:bookmarkStart w:id="2038" w:name="sec20"/>
      <w:r>
        <w:rPr>
          <w:color w:val="15909F"/>
        </w:rPr>
        <w:t xml:space="preserve">20.  </w:t>
      </w:r>
      <w:r>
        <w:t>Budgets et gestion financière</w:t>
      </w:r>
      <w:bookmarkEnd w:id="2038"/>
    </w:p>
    <w:p>
      <w:r>
        <w:t>Le comité dispose d'un budget de fonctionnement et d'un budget destiné aux activités sociales et culturelles, juridiquement distincts.</w:t>
      </w:r>
    </w:p>
    <w:p>
      <w:r>
        <w:t>La subvention de fonctionnement est fixée à 0,20 % de la masse salariale brute dans les entreprises de 50 à moins de 2 000 salariés, et à 0,22 % dans les entreprises d'au moins 2 000 salariés (art. L. 2315-61). La contribution aux activités sociales et culturelles est déterminée par accord ou, à défaut, selon le rapport le plus élevé constaté lors des années précédentes.</w:t>
      </w:r>
    </w:p>
    <w:p>
      <w:r>
        <w:t>Le comité établit des comptes annuels et un rapport d'activité et de gestion ; il désigne, le cas échéant, un expert-comptable ou un commissaire aux comptes selon sa taille. Les modalités de signature des dépenses et de tenue de la comptabilité sont précisées en annexe.</w:t>
      </w:r>
    </w:p>
    <w:p>
      <w:pPr>
        <w:pStyle w:val="Heading1"/>
      </w:pPr>
      <w:bookmarkStart w:id="2039" w:name="sec21"/>
      <w:r>
        <w:rPr>
          <w:color w:val="15909F"/>
        </w:rPr>
        <w:t xml:space="preserve">21.  </w:t>
      </w:r>
      <w:r>
        <w:t>Recours aux experts</w:t>
      </w:r>
      <w:bookmarkEnd w:id="2039"/>
    </w:p>
    <w:p>
      <w:r>
        <w:t>Le comité peut décider de recourir à un expert dans les cas et conditions prévus par le Code du travail (consultations récurrentes, projet important modifiant les conditions de santé et de sécurité, risque grave, droit d'alerte économique, opérations de concentration, etc.), selon les règles de prise en charge applicables (art. L. 2315-78 et suivants).</w:t>
      </w:r>
    </w:p>
    <w:p>
      <w:pPr>
        <w:pStyle w:val="Heading1"/>
      </w:pPr>
      <w:bookmarkStart w:id="2040" w:name="sec22"/>
      <w:r>
        <w:rPr>
          <w:color w:val="15909F"/>
        </w:rPr>
        <w:t xml:space="preserve">22.  </w:t>
      </w:r>
      <w:r>
        <w:t>Assurance et responsabilité</w:t>
      </w:r>
      <w:bookmarkEnd w:id="2040"/>
    </w:p>
    <w:p>
      <w:r>
        <w:t>Le comité souscrit une assurance couvrant sa responsabilité civile ainsi que celle de ses préposés et des participants à ses activités. La responsabilité pénale demeure personnelle.</w:t>
      </w:r>
    </w:p>
    <w:p>
      <w:pPr>
        <w:pStyle w:val="Heading1"/>
      </w:pPr>
      <w:bookmarkStart w:id="2041" w:name="sec23"/>
      <w:r>
        <w:rPr>
          <w:color w:val="15909F"/>
        </w:rPr>
        <w:t xml:space="preserve">23.  </w:t>
      </w:r>
      <w:r>
        <w:t>Formation des élus</w:t>
      </w:r>
      <w:bookmarkEnd w:id="2041"/>
    </w:p>
    <w:p>
      <w:r>
        <w:t>Les membres de la délégation du personnel bénéficient d'une formation en santé, sécurité et conditions de travail (art. L. 2315-18), prise en charge par l'employeur.</w:t>
      </w:r>
    </w:p>
    <w:p>
      <w:r>
        <w:t>Les membres titulaires élus pour la première fois bénéficient en outre d'une formation économique d'une durée maximale de cinq jours, financée par le budget de fonctionnement du comité (art. L. 2315-63).</w:t>
      </w:r>
    </w:p>
    <w:p>
      <w:pPr>
        <w:pStyle w:val="Heading1"/>
      </w:pPr>
      <w:bookmarkStart w:id="2042" w:name="sec24"/>
      <w:r>
        <w:rPr>
          <w:color w:val="15909F"/>
        </w:rPr>
        <w:t xml:space="preserve">24.  </w:t>
      </w:r>
      <w:r>
        <w:t>Représentants de proximité</w:t>
      </w:r>
      <w:bookmarkEnd w:id="2042"/>
    </w:p>
    <w:p>
      <w:r>
        <w:t>Lorsqu'un accord d'entreprise institue des représentants de proximité, leur nombre, leurs attributions et leurs modalités de fonctionnement sont définis par cet accord et annexés au présent règlement.</w:t>
      </w:r>
    </w:p>
    <w:p>
      <w:pPr>
        <w:pStyle w:val="Heading1"/>
      </w:pPr>
      <w:bookmarkStart w:id="2043" w:name="sec25"/>
      <w:r>
        <w:rPr>
          <w:color w:val="15909F"/>
        </w:rPr>
        <w:t xml:space="preserve">25.  </w:t>
      </w:r>
      <w:r>
        <w:t>Durée, révision et publicité du règlement intérieur</w:t>
      </w:r>
      <w:bookmarkEnd w:id="2043"/>
    </w:p>
    <w:p>
      <w:r>
        <w:t>Le présent règlement intérieur est adopté pour la durée de la mandature et reste applicable jusqu'à son remplacement. Il peut être modifié à tout moment par une résolution adoptée à la majorité des membres présents disposant d'une voix délibérative. Il est porté à la connaissance des membres et tenu à la disposition des salariés.</w:t>
      </w:r>
    </w:p>
    <w:p/>
    <w:p>
      <w:r>
        <w:t>Adopté par résolution du CSE en sa réunion du …… / …… / ……… .</w:t>
      </w:r>
    </w:p>
    <w:p/>
    <w:tbl>
      <w:tblPr>
        <w:tblStyle w:val="TableGrid"/>
        <w:tblW w:type="auto" w:w="0"/>
        <w:tblLook w:firstColumn="1" w:firstRow="1" w:lastColumn="0" w:lastRow="0" w:noHBand="0" w:noVBand="1" w:val="04A0"/>
      </w:tblPr>
      <w:tblGrid>
        <w:gridCol w:w="4816"/>
        <w:gridCol w:w="4816"/>
      </w:tblGrid>
      <w:tr>
        <w:tc>
          <w:tcPr>
            <w:tcW w:type="dxa" w:w="4816"/>
          </w:tcPr>
          <w:p>
            <w:r>
              <w:rPr>
                <w:b/>
              </w:rPr>
              <w:t>Le Président du CSE</w:t>
            </w:r>
          </w:p>
        </w:tc>
        <w:tc>
          <w:tcPr>
            <w:tcW w:type="dxa" w:w="4816"/>
          </w:tcPr>
          <w:p>
            <w:r>
              <w:rPr>
                <w:b/>
              </w:rPr>
              <w:t>Le Secrétaire du CSE</w:t>
            </w:r>
          </w:p>
        </w:tc>
      </w:tr>
      <w:tr>
        <w:tc>
          <w:tcPr>
            <w:tcW w:type="dxa" w:w="4816"/>
          </w:tcPr>
          <w:p>
            <w:r>
              <w:br/>
              <w:br/>
              <w:t>Nom :</w:t>
              <w:br/>
              <w:t>Signature :</w:t>
            </w:r>
          </w:p>
        </w:tc>
        <w:tc>
          <w:tcPr>
            <w:tcW w:type="dxa" w:w="4816"/>
          </w:tcPr>
          <w:p>
            <w:r>
              <w:br/>
              <w:br/>
              <w:t>Nom :</w:t>
              <w:br/>
              <w:t>Signature :</w:t>
            </w:r>
          </w:p>
        </w:tc>
      </w:tr>
    </w:tbl>
    <w:sectPr w:rsidR="00FC693F" w:rsidRPr="0006063C" w:rsidSect="00034616">
      <w:headerReference w:type="default" r:id="rId9"/>
      <w:footerReference w:type="default" r:id="rId10"/>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7178"/>
        <w:sz w:val="16"/>
      </w:rPr>
      <w:t xml:space="preserve">Destination Prévention   —   Page </w:t>
    </w:r>
    <w:r>
      <w:rPr>
        <w:color w:val="5B7178"/>
        <w:sz w:val="16"/>
      </w:rPr>
      <w:fldChar w:fldCharType="begin"/>
      <w:instrText xml:space="preserve">PAGE</w:instrText>
      <w:fldChar w:fldCharType="separate"/>
      <w:fldChar w:fldCharType="end"/>
    </w:r>
    <w:r>
      <w:rPr>
        <w:color w:val="5B7178"/>
        <w:sz w:val="16"/>
      </w:rPr>
      <w:t xml:space="preserve"> / </w:t>
    </w:r>
    <w:r>
      <w:rPr>
        <w:color w:val="5B7178"/>
        <w:sz w:val="16"/>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5B7178"/>
        <w:sz w:val="16"/>
      </w:rPr>
      <w:t>Règlement intérieur du CSE — Entreprises de 50 à 299 salariés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Bdr>
        <w:bottom w:val="single" w:sz="6" w:space="4" w:color="BFE0E2"/>
      </w:pBdr>
    </w:pPr>
    <w:rPr>
      <w:rFonts w:asciiTheme="majorHAnsi" w:eastAsiaTheme="majorEastAsia" w:hAnsiTheme="majorHAnsi" w:cstheme="majorBidi" w:ascii="Calibri" w:hAnsi="Calibri"/>
      <w:b/>
      <w:bCs/>
      <w:color w:val="0A4F59"/>
      <w:sz w:val="29"/>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ascii="Calibri" w:hAnsi="Calibri"/>
      <w:b/>
      <w:bCs/>
      <w:color w:val="15909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