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Синопсис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Заголовок раздела</w:t>
            </w:r>
          </w:p>
        </w:tc>
        <w:tc>
          <w:tcPr>
            <w:tcW w:type="dxa" w:w="4320"/>
          </w:tcPr>
          <w:p>
            <w: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Спонсор</w:t>
            </w:r>
          </w:p>
        </w:tc>
        <w:tc>
          <w:tcPr>
            <w:tcW w:type="dxa" w:w="4320"/>
          </w:tcPr>
          <w:p>
            <w:r>
              <w:t>XXXXX</w:t>
            </w:r>
          </w:p>
        </w:tc>
      </w:tr>
      <w:tr>
        <w:tc>
          <w:tcPr>
            <w:tcW w:type="dxa" w:w="4320"/>
          </w:tcPr>
          <w:p>
            <w:r>
              <w:t>Название исследуемого препарата</w:t>
            </w:r>
          </w:p>
        </w:tc>
        <w:tc>
          <w:tcPr>
            <w:tcW w:type="dxa" w:w="4320"/>
          </w:tcPr>
          <w:p>
            <w:r>
              <w:t>Капецитабин</w:t>
            </w:r>
          </w:p>
        </w:tc>
      </w:tr>
      <w:tr>
        <w:tc>
          <w:tcPr>
            <w:tcW w:type="dxa" w:w="4320"/>
          </w:tcPr>
          <w:p>
            <w:r>
              <w:t>Действующее вещество</w:t>
            </w:r>
          </w:p>
        </w:tc>
        <w:tc>
          <w:tcPr>
            <w:tcW w:type="dxa" w:w="4320"/>
          </w:tcPr>
          <w:p>
            <w:r>
              <w:t>Капецитабин</w:t>
            </w:r>
          </w:p>
        </w:tc>
      </w:tr>
      <w:tr>
        <w:tc>
          <w:tcPr>
            <w:tcW w:type="dxa" w:w="4320"/>
          </w:tcPr>
          <w:p>
            <w:r>
              <w:t>Название исследования</w:t>
            </w:r>
          </w:p>
        </w:tc>
        <w:tc>
          <w:tcPr>
            <w:tcW w:type="dxa" w:w="4320"/>
          </w:tcPr>
          <w:p>
            <w:r>
              <w:t>Открытое рандомизированное перекрестное исследование сравнительной фармакокинетики (биоэквивалентности) препаратов Капецитабин, таблетки, покрытые пленочной оболочкой 150 мг (XXXXX, Россия) и Кселода, таблетки, покрытые пленочной оболочкой 150 мг (Ф. Хоффманн-Ля Рош Лтд, Швейцария) после приема после еды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Номер исследования</w:t>
            </w:r>
          </w:p>
        </w:tc>
        <w:tc>
          <w:tcPr>
            <w:tcW w:type="dxa" w:w="4320"/>
          </w:tcPr>
          <w:p>
            <w:r>
              <w:t>[НЕ НАЙДЕНО]</w:t>
            </w:r>
          </w:p>
        </w:tc>
      </w:tr>
      <w:tr>
        <w:tc>
          <w:tcPr>
            <w:tcW w:type="dxa" w:w="4320"/>
          </w:tcPr>
          <w:p>
            <w:r>
              <w:t>Фаза исследования</w:t>
            </w:r>
          </w:p>
        </w:tc>
        <w:tc>
          <w:tcPr>
            <w:tcW w:type="dxa" w:w="4320"/>
          </w:tcPr>
          <w:p>
            <w:r>
              <w:t>(Биоэквивалентность)</w:t>
            </w:r>
          </w:p>
        </w:tc>
      </w:tr>
      <w:tr>
        <w:tc>
          <w:tcPr>
            <w:tcW w:type="dxa" w:w="4320"/>
          </w:tcPr>
          <w:p>
            <w:r>
              <w:t>Первичные конечные точки:</w:t>
            </w:r>
          </w:p>
        </w:tc>
        <w:tc>
          <w:tcPr>
            <w:tcW w:type="dxa" w:w="4320"/>
          </w:tcPr>
          <w:p>
            <w:r>
              <w:t>Площадь под кривой «концентрация–время» AUC&lt;sub&gt;0-t&lt;/sub&gt;&lt;br&gt;Максимальная концентрация в плазме C&lt;sub&gt;max&lt;/sub&gt;</w:t>
            </w:r>
          </w:p>
        </w:tc>
      </w:tr>
      <w:tr>
        <w:tc>
          <w:tcPr>
            <w:tcW w:type="dxa" w:w="4320"/>
          </w:tcPr>
          <w:p>
            <w:r>
              <w:t>• Вторичные конечные точки</w:t>
            </w:r>
          </w:p>
        </w:tc>
        <w:tc>
          <w:tcPr>
            <w:tcW w:type="dxa" w:w="4320"/>
          </w:tcPr>
          <w:p>
            <w:r>
              <w:t>Время достижения максимальной концентрации T&lt;sub&gt;max&lt;/sub&gt;</w:t>
            </w:r>
          </w:p>
        </w:tc>
      </w:tr>
      <w:tr>
        <w:tc>
          <w:tcPr>
            <w:tcW w:type="dxa" w:w="4320"/>
          </w:tcPr>
          <w:p>
            <w:r>
              <w:t>• Цели исследования</w:t>
            </w:r>
          </w:p>
        </w:tc>
        <w:tc>
          <w:tcPr>
            <w:tcW w:type="dxa" w:w="4320"/>
          </w:tcPr>
          <w:p>
            <w:r>
              <w:t>Основная цель: оценка биоэквивалентности препаратов Капецитабин, таблетки, покрытые пленочной оболочкой 150 мг (XXXXX, Россия) и Кселода, таблетки, покрытые пленочной оболочкой 150 мг (Ф. Хоффманн-Ля Рош Лтд) после приема после еды у здоровых добровольцев.&lt;br&gt;Дополнительная цель: оценка безопасности однократного дозирования препарата Капецитабин, таблетки, покрытые пленочной оболочкой 150 мг (XXXXX, Россия)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Дизайн исследования</w:t>
            </w:r>
          </w:p>
        </w:tc>
        <w:tc>
          <w:tcPr>
            <w:tcW w:type="dxa" w:w="4320"/>
          </w:tcPr>
          <w:p>
            <w:r>
              <w:t>[НЕ НАЙДЕНО] Капецитабин, таблетки, покрытые пленочной оболочкой 150 мг (XXXXX, Россия) и Кселода, таблетки, покрытые пленочной оболочкой 150 мг после приема после еды у здоровых добровольцев. В качестве препарата сравнения выбран оригинальный референтный препарат Кселода, таблетки, покрытые пленочной оболочкой 150 мг. В исследование будет включено [НЕ НАЙДЕНО] здоровых добровольцев в 1 исследовательском центре в России.</w:t>
            </w:r>
          </w:p>
        </w:tc>
      </w:tr>
      <w:tr>
        <w:tc>
          <w:tcPr>
            <w:tcW w:type="dxa" w:w="4320"/>
          </w:tcPr>
          <w:p>
            <w:r>
              <w:t>Исследуемая популяция</w:t>
            </w:r>
          </w:p>
        </w:tc>
        <w:tc>
          <w:tcPr>
            <w:tcW w:type="dxa" w:w="4320"/>
          </w:tcPr>
          <w:p>
            <w:r>
              <w:t>Здоровые добровольцы мужского и женского пола в возрасте 18–45 лет включительно, соответствующие всем требованиям критериев отбора.</w:t>
            </w:r>
          </w:p>
        </w:tc>
      </w:tr>
      <w:tr>
        <w:tc>
          <w:tcPr>
            <w:tcW w:type="dxa" w:w="4320"/>
          </w:tcPr>
          <w:p>
            <w:r>
              <w:t>Критерии включения</w:t>
            </w:r>
          </w:p>
        </w:tc>
        <w:tc>
          <w:tcPr>
            <w:tcW w:type="dxa" w:w="4320"/>
          </w:tcPr>
          <w:p>
            <w:r>
              <w:t>- Мужчины и женщины в возрасте от 18 до 45 лет включительно на момент подписания информированного согласия.&lt;br&gt;- Верифицированный диагноз «здоров» по данным стандартных клинических, лабораторных и инструментальных методов обследования.&lt;br&gt;- Индекс массы тела от 18,5 до 30 кг/м², масса тела не менее 50 кг.&lt;br&gt;- Гемодинамические показатели в пределах нормы: систолическое АД 100–130 мм рт. ст., диастолическое АД 60–90 мм рт. ст., частота сердечных сокращений 60–90 уд/мин.&lt;br&gt;- Отрицательные результаты тестов на беременность (для женщин), алкоголь, наркотические вещества.&lt;br&gt;- Отрицательные результаты серологических тестов на ВИЧ, гепатиты В и С, сифилис.&lt;br&gt;- Способность и готовность соблюдать требования протокола и подписать информированное согласие.</w:t>
            </w:r>
          </w:p>
        </w:tc>
      </w:tr>
      <w:tr>
        <w:tc>
          <w:tcPr>
            <w:tcW w:type="dxa" w:w="4320"/>
          </w:tcPr>
          <w:p>
            <w:r>
              <w:t>• Критерии невключения</w:t>
            </w:r>
          </w:p>
        </w:tc>
        <w:tc>
          <w:tcPr>
            <w:tcW w:type="dxa" w:w="4320"/>
          </w:tcPr>
          <w:p>
            <w:r>
              <w:t>- Наличие острых или хронических заболеваний сердечно-сосудистой, дыхательной, нервной, эндокринной, пищеварительной, мочевыделительной, кроветворной систем, а также других состояний, способных повлиять на абсорбцию, распределение, метаболизм или выведение препарата.&lt;br&gt;- Хирургические вмешательства на желудочно-кишечном тракте в анамнезе (кроме аппендэктомии).&lt;br&gt;- Прием любых лекарственных средств (включая безрецептурные, витамины, БАД) менее чем за 14 дней до скрининга.&lt;br&gt;- Курение более 10 сигарет в день или употребление никотинсодержащих продуктов.&lt;br&gt;- Употребление алкоголя или наркотических веществ в течение 48 ч до скрининга или положительные результаты соответствующих тестов.&lt;br&gt;- Беременность, лактация или отказ от использования надежных методов контрацепции у женщин репродуктивного возраста.&lt;br&gt;- Известная гиперчувствительность к Капецитабин или вспомогательным веществам.&lt;br&gt;- Донорство крови или плазмы (более 450 мл) менее чем за 3 месяца до исследования.&lt;br&gt;- Участие в другом клиническом исследовании в течение последних 3 месяцев.</w:t>
            </w:r>
          </w:p>
        </w:tc>
      </w:tr>
      <w:tr>
        <w:tc>
          <w:tcPr>
            <w:tcW w:type="dxa" w:w="4320"/>
          </w:tcPr>
          <w:p>
            <w:r>
              <w:t>• Критерии исключения</w:t>
            </w:r>
          </w:p>
        </w:tc>
        <w:tc>
          <w:tcPr>
            <w:tcW w:type="dxa" w:w="4320"/>
          </w:tcPr>
          <w:p>
            <w:r>
              <w:t>- Отказ добровольца от дальнейшего участия.&lt;br&gt;- Развитие серьезного нежелательного явления, требующего отмены терапии.&lt;br&gt;- Необходимость в сопутствующем лечении, влияющем на фармакокинетику.&lt;br&gt;- Нарушение протокола, влияющее на достоверность результатов.&lt;br&gt;- Возникновение рвоты или диареи в течение 24 ч после приема препарата.&lt;br&gt;- Положительный тест на беременность в ходе исследования.&lt;br&gt;- Любое другое состояние, которое, по мнению исследователя, делает невозможным дальнейшее участие.</w:t>
            </w:r>
          </w:p>
        </w:tc>
      </w:tr>
      <w:tr>
        <w:tc>
          <w:tcPr>
            <w:tcW w:type="dxa" w:w="4320"/>
          </w:tcPr>
          <w:p>
            <w:r>
              <w:t>Исследуемый препарат (T)</w:t>
            </w:r>
          </w:p>
        </w:tc>
        <w:tc>
          <w:tcPr>
            <w:tcW w:type="dxa" w:w="4320"/>
          </w:tcPr>
          <w:p>
            <w:r>
              <w:t>Название, доза: Капецитабин 150 мг, таблетки, покрытые пленочной оболочкой&lt;br&gt;Производитель: XXXXX, Россия&lt;br&gt;Условия хранения: [НЕ НАЙДЕНО]</w:t>
            </w:r>
          </w:p>
        </w:tc>
      </w:tr>
      <w:tr>
        <w:tc>
          <w:tcPr>
            <w:tcW w:type="dxa" w:w="4320"/>
          </w:tcPr>
          <w:p>
            <w:r>
              <w:t>Референтный препарат (R)</w:t>
            </w:r>
          </w:p>
        </w:tc>
        <w:tc>
          <w:tcPr>
            <w:tcW w:type="dxa" w:w="4320"/>
          </w:tcPr>
          <w:p>
            <w:r>
              <w:t>Торговое название, доза: Кселода 150 мг, таблетки, покрытые пленочной оболочкой&lt;br&gt;Действующее вещество: Капецитабин&lt;br&gt;Лекарственная форма: таблетки, покрытые пленочной оболочкой&lt;br&gt;Способ применения: внутрь&lt;br&gt;Условия хранения: от 2 до 30 °С&lt;br&gt;Производитель: Ф. Хоффманн-Ля Рош Лтд, Швейцария&lt;br&gt;Держатель регистрационного удостоверения: Ф. Хоффманн-Ля Рош Лтд (F. Hoffmann-La Roche, Ltd), Швейцария</w:t>
            </w:r>
          </w:p>
        </w:tc>
      </w:tr>
      <w:tr>
        <w:tc>
          <w:tcPr>
            <w:tcW w:type="dxa" w:w="4320"/>
          </w:tcPr>
          <w:p>
            <w:r>
              <w:t>Продолжительность исследования</w:t>
            </w:r>
          </w:p>
        </w:tc>
        <w:tc>
          <w:tcPr>
            <w:tcW w:type="dxa" w:w="4320"/>
          </w:tcPr>
          <w:p>
            <w:r>
              <w:t>Каждый доброволец будет принимать участие в исследовании приблизительно [НЕ НАЙДЕНО] дней (не более [НЕ НАЙДЕНО] недель), включая скрининг, два периода приема и наблюдение.</w:t>
            </w:r>
          </w:p>
        </w:tc>
      </w:tr>
      <w:tr>
        <w:tc>
          <w:tcPr>
            <w:tcW w:type="dxa" w:w="4320"/>
          </w:tcPr>
          <w:p>
            <w:r>
              <w:t>Конечные точки эффективности</w:t>
            </w:r>
          </w:p>
        </w:tc>
        <w:tc>
          <w:tcPr>
            <w:tcW w:type="dxa" w:w="4320"/>
          </w:tcPr>
          <w:p>
            <w:r>
              <w:t>Фармакокинетика: Метод анализа: высокоэффективная жидкостная хроматография с тандемным масс-спектрометрическим детектированием (ВЭЖХ-МС/МС). Первичные параметры: AUC&lt;sub&gt;0-t&lt;/sub&gt;, C&lt;sub&gt;max&lt;/sub&gt;. Вторичные параметры: T&lt;sub&gt;max&lt;/sub&gt;.</w:t>
            </w:r>
          </w:p>
        </w:tc>
      </w:tr>
      <w:tr>
        <w:tc>
          <w:tcPr>
            <w:tcW w:type="dxa" w:w="4320"/>
          </w:tcPr>
          <w:p>
            <w:r>
              <w:t>Конечные точки безопасности</w:t>
            </w:r>
          </w:p>
        </w:tc>
        <w:tc>
          <w:tcPr>
            <w:tcW w:type="dxa" w:w="4320"/>
          </w:tcPr>
          <w:p>
            <w:r>
              <w:t>Регистрация НЯ, жизненных показателей, ЭКГ, лабораторных анализов на скрининге, в ходе исследования и на визите наблюдения.</w:t>
            </w:r>
          </w:p>
        </w:tc>
      </w:tr>
      <w:tr>
        <w:tc>
          <w:tcPr>
            <w:tcW w:type="dxa" w:w="4320"/>
          </w:tcPr>
          <w:p>
            <w:r>
              <w:t>Статистические методы</w:t>
            </w:r>
          </w:p>
        </w:tc>
        <w:tc>
          <w:tcPr>
            <w:tcW w:type="dxa" w:w="4320"/>
          </w:tcPr>
          <w:p>
            <w:r>
              <w:t>Анализ первичных конечных точек: Используются ln-преобразованные C&lt;sub&gt;max&lt;/sub&gt; и AUC&lt;sub&gt;0-t&lt;/sub&gt;. Модель ANOVA включает факторы: препарат, период, последовательность, субъект(последовательность). Рассчитывается 90% доверительный интервал для отношения средних геометрических. Оценка биоэквивалентности: Биоэквивалентность считается доказанной, если 90% ДИ для отношений C&lt;sub&gt;max&lt;/sub&gt; и AUC&lt;sub&gt;0-t&lt;/sub&gt; находится в пределах 80,00–125,00%.</w:t>
            </w:r>
          </w:p>
        </w:tc>
      </w:tr>
      <w:tr>
        <w:tc>
          <w:tcPr>
            <w:tcW w:type="dxa" w:w="4320"/>
          </w:tcPr>
          <w:p>
            <w:r>
              <w:t>Анализ конечных точек безопасности</w:t>
            </w:r>
          </w:p>
        </w:tc>
        <w:tc>
          <w:tcPr>
            <w:tcW w:type="dxa" w:w="4320"/>
          </w:tcPr>
          <w:p>
            <w:r>
              <w:t>Описательная статистика НЯ, лабораторных и инструментальных показателей.</w:t>
            </w:r>
          </w:p>
        </w:tc>
      </w:tr>
      <w:tr>
        <w:tc>
          <w:tcPr>
            <w:tcW w:type="dxa" w:w="4320"/>
          </w:tcPr>
          <w:p>
            <w:r>
              <w:t>Размер выборки</w:t>
            </w:r>
          </w:p>
        </w:tc>
        <w:tc>
          <w:tcPr>
            <w:tcW w:type="dxa" w:w="4320"/>
          </w:tcPr>
          <w:p>
            <w:r>
              <w:t>Расчет размера выборки производился на основе внутрииндивидуальной вариабельности CV&lt;sub&gt;intra&lt;/sub&gt;. Из литературных данных [источник] CV&lt;sub&gt;intra&lt;/sub&gt; для AUC составляет [НЕ НАЙДЕНО]%, для C&lt;sub&gt;max&lt;/sub&gt; – [НЕ НАЙДЕНО]%. Включение [НЕ НАЙДЕНО] добровольцев, полностью завершивших исследование, обеспечит суммарную мощность [НЕ НАЙДЕНО] % для оценки биоэквивалентности при соотношении геометрических средних 0,95. С учетом возможного отсева [НЕ НАЙДЕНО] % необходимо рандомизировать [НЕ НАЙДЕНО] добровольцев. С учетом возможного отсева на скрининге [НЕ НАЙДЕНО]% в исследование будут скринированы до [НЕ НАЙДЕНО] добровольцев.</w:t>
            </w:r>
          </w:p>
        </w:tc>
      </w:tr>
      <w:tr>
        <w:tc>
          <w:tcPr>
            <w:tcW w:type="dxa" w:w="4320"/>
          </w:tcPr>
          <w:p>
            <w:r>
              <w:t>Рандомизация</w:t>
            </w:r>
          </w:p>
        </w:tc>
        <w:tc>
          <w:tcPr>
            <w:tcW w:type="dxa" w:w="4320"/>
          </w:tcPr>
          <w:p>
            <w:r>
              <w:t>Добровольцы будут распределены в одну из двух групп методом блочной рандомизации 1:1. В каждую группу будет включено [НЕ НАЙДЕНО] добровольцев.</w:t>
            </w:r>
          </w:p>
        </w:tc>
      </w:tr>
      <w:tr>
        <w:tc>
          <w:tcPr>
            <w:tcW w:type="dxa" w:w="4320"/>
          </w:tcPr>
          <w:p>
            <w:r>
              <w:t>Версия и дата протокола</w:t>
            </w:r>
          </w:p>
        </w:tc>
        <w:tc>
          <w:tcPr>
            <w:tcW w:type="dxa" w:w="4320"/>
          </w:tcPr>
          <w:p>
            <w:r>
              <w:t>версия [НЕ НАЙДЕНО] от [НЕ НАЙДЕНО]</w:t>
            </w:r>
          </w:p>
        </w:tc>
      </w:tr>
      <w:tr>
        <w:tc>
          <w:tcPr>
            <w:tcW w:type="dxa" w:w="4320"/>
          </w:tcPr>
          <w:p>
            <w:r>
              <w:t>Примечания/допущения</w:t>
            </w:r>
          </w:p>
        </w:tc>
        <w:tc>
          <w:tcPr>
            <w:tcW w:type="dxa" w:w="4320"/>
          </w:tcPr>
          <w:p>
            <w:r>
              <w:t>- «После еды» подставлено на основании данных инструкции/описания применения: прием в течение 30 мин после еды; пища уменьшает скорость всасывания капецитабина, но незначительно влияет на AUC метаболитов.&lt;br&gt;- Дизайн исследования, номер исследования, длительность участия, размер выборки/мощность/проценты отсева, параметры CV&lt;sub&gt;intra&lt;/sub&gt;, условия хранения для исследуемого препарата (T) — в предоставленных атрибутах отсутствуют и по указанным формулам не вычисляются без дополнительных исходных данных.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