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Синопсис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Заголовок раздела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Спонсор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[ТРЕБУЕТСЯ УТОЧНЕНИЕ]</w:t>
            </w:r>
          </w:p>
        </w:tc>
      </w:tr>
      <w:tr>
        <w:tc>
          <w:tcPr>
            <w:tcW w:type="dxa" w:w="4320"/>
          </w:tcPr>
          <w:p>
            <w:r>
              <w:t>Название исследуемого препарата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Омепразол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Омепразол</w:t>
            </w:r>
          </w:p>
        </w:tc>
      </w:tr>
      <w:tr>
        <w:tc>
          <w:tcPr>
            <w:tcW w:type="dxa" w:w="4320"/>
          </w:tcPr>
          <w:p>
            <w:r>
              <w:t>Название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перекрестное исследование сравнительной фармакокинетики (биоэквивалентности) препаратов Омепразол, капсулы кишечнорастворимые 20 мг ([ТРЕБУЕТСЯ УТОЧНЕНИЕ], Россия) и Лосек МАПС, капсулы кишечнорастворимые 20 мг (AstraZeneca (ООО «АстраЗенека Фармасьютикалз»)) после приема [НЕ НАЙДЕНО]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№[ТРЕБУЕТСЯ УТОЧНЕНИЕ]</w:t>
            </w:r>
          </w:p>
        </w:tc>
      </w:tr>
      <w:tr>
        <w:tc>
          <w:tcPr>
            <w:tcW w:type="dxa" w:w="4320"/>
          </w:tcPr>
          <w:p>
            <w:r>
              <w:t>Фаза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(Биоэквивалентность)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Площадь под кривой «концентрация–время» AUC&lt;sub&gt;0-t&lt;/sub&gt;&lt;br&gt;Максимальная концентрация в плазме C&lt;sub&gt;max&lt;/sub&gt;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Время достижения максимальной концентрации T&lt;sub&gt;max&lt;/sub&gt;&lt;br&gt;Период полувыведения из плазмы T&lt;sub&gt;1/2&lt;/sub&gt;&lt;br&gt;Константа скорости терминальной элиминации k&lt;sub&gt;el&lt;/sub&gt; (λ&lt;sub&gt;z&lt;/sub&gt;)</w:t>
            </w:r>
          </w:p>
        </w:tc>
      </w:tr>
      <w:tr>
        <w:tc>
          <w:tcPr>
            <w:tcW w:type="dxa" w:w="4320"/>
          </w:tcPr>
          <w:p>
            <w:r>
              <w:t>Цели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Основная цель: оценка биоэквивалентности препаратов Омепразол, капсулы кишечнорастворимые, 20 мг ([ТРЕБУЕТСЯ УТОЧНЕНИЕ], Россия) и Лосек МАПС, капсулы кишечнорастворимые 20 мг (AstraZeneca (ООО «АстраЗенека Фармасьютикалз»)) после приема [НЕ НАЙДЕНО] у здоровых добровольцев.&lt;br&gt;Дополнительная цель: оценка безопасности однократного дозирования препарата Омепразол, капсулы кишечнорастворимые 20 мг ([ТРЕБУЕТСЯ УТОЧНЕНИЕ], Россия)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[НЕ НАЙДЕНО] Омепразол, капсулы кишечнорастворимые 20 мг ([ТРЕБУЕТСЯ УТОЧНЕНИЕ], Россия) и Лосек МАПС, капсулы кишечнорастворимые 20 мг после приема [НЕ НАЙДЕНО] у здоровых добровольцев. В качестве препарата сравнения выбран оригинальный референтный препарат Лосек МАПС, капсулы кишечнорастворимые 20 мг. В исследование будет включено [НЕ НАЙДЕНО] здоровых добровольцев в 1 исследовательском центре в России. При этом периоды приема препаратов исследования разделяются отмывочным периодом продолжительностью [НЕ НАЙДЕНО].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Здоровые добровольцы мужского и женского пола в возрасте 18–45 лет включительно, соответствующие всем требованиям критериев отбора.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Мужчины и женщины в возрасте от 18 до 45 лет включительно на момент подписания информированного согласия.&lt;br&gt;- Верифицированный диагноз «здоров» по данным стандартных клинических, лабораторных и инструментальных методов обследования.&lt;br&gt;- Индекс массы тела от 18,5 до 30 кг/м², масса тела не менее 50 кг.&lt;br&gt;- Гемодинамические показатели в пределах нормы: систолическое АД 100–130 мм рт. ст., диастолическое АД 60–90 мм рт. ст., частота сердечных сокращений 60–90 уд/мин.&lt;br&gt;- Отрицательные результаты тестов на беременность (для женщин), алкоголь, наркотические вещества.&lt;br&gt;- Отрицательные результаты серологических тестов на ВИЧ, гепатиты В и С, сифилис.&lt;br&gt;- Способность и готовность соблюдать требования протокола и подписать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Наличие острых или хронических заболеваний сердечно-сосудистой, дыхательной, нервной, эндокринной, пищеварительной, мочевыделительной, кроветворной систем, а также других состояний, способных повлиять на абсорбцию, распределение, метаболизм или выведение препарата.&lt;br&gt;- Хирургические вмешательства на желудочно-кишечном тракте в анамнезе (кроме аппендэктомии).&lt;br&gt;- Прием любых лекарственных средств (включая безрецептурные, витамины, БАД) менее чем за 14 дней до скрининга.&lt;br&gt;- Курение более 10 сигарет в день или употребление никотинсодержащих продуктов.&lt;br&gt;- Употребление алкоголя или наркотических веществ в течение 48 ч до скрининга или положительные результаты соответствующих тестов.&lt;br&gt;- Беременность, лактация или отказ от использования надежных методов контрацепции у женщин репродуктивного возраста.&lt;br&gt;- Известная гиперчувствительность к Омепразол или вспомогательным веществам.&lt;br&gt;- Донорство крови или плазмы (более 450 мл) менее чем за 3 месяца до исследования.&lt;br&gt;- Участие в другом клиническом исследовании в течение последних 3 месяцев.</w:t>
            </w:r>
          </w:p>
        </w:tc>
      </w:tr>
      <w:tr>
        <w:tc>
          <w:tcPr>
            <w:tcW w:type="dxa" w:w="4320"/>
          </w:tcPr>
          <w:p>
            <w:r>
              <w:t>Критерии исключения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Отказ добровольца от дальнейшего участия.&lt;br&gt;- Развитие серьезного нежелательного явления, требующего отмены терапии.&lt;br&gt;- Необходимость в сопутствующем лечении, влияющем на фармакокинетику.&lt;br&gt;- Нарушение протокола, влияющее на достоверность результатов.&lt;br&gt;- Возникновение рвоты или диареи в течение 24 ч после приема препарата.&lt;br&gt;- Положительный тест на беременность в ходе исследования.&lt;br&gt;- Любое другое состояние, которое, по мнению исследователя, делает невозможным дальнейшее участие.</w:t>
            </w:r>
          </w:p>
        </w:tc>
      </w:tr>
      <w:tr>
        <w:tc>
          <w:tcPr>
            <w:tcW w:type="dxa" w:w="4320"/>
          </w:tcPr>
          <w:p>
            <w:r>
              <w:t>Исследуемый препарат (T)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Омепразол, 20 мг, капсулы кишечнорастворимые Производитель: [ТРЕБУЕТСЯ УТОЧНЕНИЕ], Россия Условия хранения: +2 – 25 °C</w:t>
            </w:r>
          </w:p>
        </w:tc>
      </w:tr>
      <w:tr>
        <w:tc>
          <w:tcPr>
            <w:tcW w:type="dxa" w:w="4320"/>
          </w:tcPr>
          <w:p>
            <w:r>
              <w:t>Референтный препарат (R)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Лосек МАПС 20 мг, капсулы кишечнорастворимые Действующее вещество: Омепразол Лекарственная форма: капсулы кишечнорастворимые Способ применения: внутрь Условия хранения: +2 – 25 °C Производитель: AstraZeneca (ООО «АстраЗенека Фармасьютикалз») Держатель регистрационного удостоверения: [НЕ НАЙДЕНО]</w:t>
            </w:r>
          </w:p>
        </w:tc>
      </w:tr>
      <w:tr>
        <w:tc>
          <w:tcPr>
            <w:tcW w:type="dxa" w:w="4320"/>
          </w:tcPr>
          <w:p>
            <w:r>
              <w:t>Продолжительность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Каждый доброволец будет принимать участие в исследовании приблизительно [НЕ НАЙДЕНО] дней, включая скрининг, периоды приема и наблюдение.</w:t>
            </w:r>
          </w:p>
        </w:tc>
      </w:tr>
      <w:tr>
        <w:tc>
          <w:tcPr>
            <w:tcW w:type="dxa" w:w="4320"/>
          </w:tcPr>
          <w:p>
            <w:r>
              <w:t>Конечные точки эффективности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Фармакокинетика: Метод анализа: высокоэффективная жидкостная хроматография с тандемным масс-спектрометрическим детектированием (ВЭЖХ-МС/МС). Первичные параметры: AUC&lt;sub&gt;0-t&lt;/sub&gt;, C&lt;sub&gt;max&lt;/sub&gt;. Вторичные параметры: T&lt;sub&gt;max&lt;/sub&gt;.</w:t>
            </w:r>
          </w:p>
        </w:tc>
      </w:tr>
      <w:tr>
        <w:tc>
          <w:tcPr>
            <w:tcW w:type="dxa" w:w="4320"/>
          </w:tcPr>
          <w:p>
            <w:r>
              <w:t>Конечные точки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Регистрация НЯ, жизненных показателей, ЭКГ, лабораторных анализов на скрининге, в ходе исследования и на визите наблюдения.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Анализ первичных конечных точек: используются ln-преобразованные C&lt;sub&gt;max&lt;/sub&gt; и AUC&lt;sub&gt;0-t&lt;/sub&gt;. Модель ANOVA включает факторы: препарат, период, последовательность, субъект(последовательность). Рассчитывается 90% доверительный интервал для отношения средних геометрических. Оценка биоэквивалентности: Биоэквивалентность считается доказанной, если 90% ДИ для отношений C&lt;sub&gt;max&lt;/sub&gt; и AUC&lt;sub&gt;0-t&lt;/sub&gt; находится в пределах 80,00–125,00%.</w:t>
            </w:r>
          </w:p>
        </w:tc>
      </w:tr>
      <w:tr>
        <w:tc>
          <w:tcPr>
            <w:tcW w:type="dxa" w:w="4320"/>
          </w:tcPr>
          <w:p>
            <w:r>
              <w:t>Анализ конечных точек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Описательная статистика НЯ, лабораторных и инструментальных показателей.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Расчет размера выборки производился на основе внутрииндивидуальной вариабельности [НЕ НАЙДЕНО]. Из литературных данных CV&lt;sub&gt;intra&lt;/sub&gt; для AUC составляет [НЕ НАЙДЕНО]%, для C&lt;sub&gt;max&lt;/sub&gt; – [НЕ НАЙДЕНО]%. Включение [НЕ НАЙДЕНО] добровольцев, полностью завершивших исследование, обеспечит суммарную мощность 80 % для оценки биоэквивалентности при соотношении геометрических средних 0,95. С учетом возможного отсева 15 % необходимо рандомизировать [НЕ НАЙДЕНО] добровольцев. С учетом возможного отсева на скрининге 20 % в исследование будут скринированы до [НЕ НАЙДЕНО] добровольцев.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Добровольцы будут распределены в одну из двух групп методом блочной рандомизации 1:1. В каждую группу будет включено [НЕ НАЙДЕНО] добровольцев.</w:t>
            </w:r>
          </w:p>
        </w:tc>
      </w:tr>
      <w:tr>
        <w:tc>
          <w:tcPr>
            <w:tcW w:type="dxa" w:w="4320"/>
          </w:tcPr>
          <w:p>
            <w:r>
              <w:t>Версия и дата протокола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 [ТРЕБУЕТСЯ УТОЧНЕНИЕ] от [ТРЕБУЕТСЯ УТОЧНЕНИЕ]</w:t>
            </w:r>
          </w:p>
        </w:tc>
      </w:tr>
      <w:tr>
        <w:tc>
          <w:tcPr>
            <w:tcW w:type="dxa" w:w="4320"/>
          </w:tcPr>
          <w:p>
            <w:r>
              <w:t>Примечания/допущения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1) Параметры конечных точек [pk_auc], [pk_cmax], [pk_tmax], [pk_t_half], [pk_kel] подставлены как общепринятые обозначения (AUC&lt;sub&gt;0-t&lt;/sub&gt;, C&lt;sub&gt;max&lt;/sub&gt;, T&lt;sub&gt;max&lt;/sub&gt;, T&lt;sub&gt;1/2&lt;/sub&gt;, k&lt;sub&gt;el&lt;/sub&gt;) — численные значения не предоставлены.&lt;br&gt;2) Условия приема пищи ([feeding_conditions]), дизайн ([be_study_design]), численность ([be_study_n], [be_study_n_drop_out], [be_study_n_all], [be_study_n_half]), washout ([be_study_washout]) и длительность ([be_study_duration]) не рассчитаны: отсутствуют исходные данные (CV&lt;sub&gt;intra&lt;/sub&gt;, washout и др.).&lt;br&gt;3) Имеется несоответствие по лекарственной форме референтного препарата: в предоставленных данных по Лосек МАПС указано «таблетки, покрытые пленочной оболочкой, 20 мг», тогда как исходный запрос/перечень взаимозаменяемости содержит «капсулы кишечнорастворимые, 20 мг»; требуется уточнение, какая форма планируется в исследовании и как корректно заполнить поле [dosage_form] для T и R.&lt;br&gt;4) Держатель регистрационного удостоверения ([manufacturer_holder]) и РУ для Лосек МАПС не предоставлены.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