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Синопсис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Заголовок раздела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Спонсор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XXXXX</w:t>
            </w:r>
          </w:p>
        </w:tc>
      </w:tr>
      <w:tr>
        <w:tc>
          <w:tcPr>
            <w:tcW w:type="dxa" w:w="4320"/>
          </w:tcPr>
          <w:p>
            <w:r>
              <w:t>Название исследуемого препарата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Метформин</w:t>
            </w:r>
          </w:p>
        </w:tc>
      </w:tr>
      <w:tr>
        <w:tc>
          <w:tcPr>
            <w:tcW w:type="dxa" w:w="4320"/>
          </w:tcPr>
          <w:p>
            <w:r>
              <w:t>Действующее вещество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Метформин</w:t>
            </w:r>
          </w:p>
        </w:tc>
      </w:tr>
      <w:tr>
        <w:tc>
          <w:tcPr>
            <w:tcW w:type="dxa" w:w="4320"/>
          </w:tcPr>
          <w:p>
            <w:r>
              <w:t>Название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Открытое рандомизированное перекрестное исследование сравнительной фармакокинетики (биоэквивалентности) препаратов Метформин, таблетки с пролонгированным высвобождением, покрытые пленочной оболочкой, 850 мг (XXXXX, Россия) и Глюкофаж® Лонг, таблетки с пролонгированным высвобождением, 1000 мг (Мерк Сантэ С.а.С., Франция) после приема во время или после еды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Номер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№XYZ</w:t>
            </w:r>
          </w:p>
        </w:tc>
      </w:tr>
      <w:tr>
        <w:tc>
          <w:tcPr>
            <w:tcW w:type="dxa" w:w="4320"/>
          </w:tcPr>
          <w:p>
            <w:r>
              <w:t>Фаза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Биоэквивалентность</w:t>
            </w:r>
          </w:p>
        </w:tc>
      </w:tr>
      <w:tr>
        <w:tc>
          <w:tcPr>
            <w:tcW w:type="dxa" w:w="4320"/>
          </w:tcPr>
          <w:p>
            <w:r>
              <w:t>Первичные конечные точки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Площадь под кривой «концентрация–время» AUC&lt;sub&gt;0-t&lt;/sub&gt; и AUC&lt;sub&gt;0-∞&lt;/sub&gt;&lt;br&gt;Максимальная концентрация в плазме C&lt;sub&gt;max&lt;/sub&gt;</w:t>
            </w:r>
          </w:p>
        </w:tc>
      </w:tr>
      <w:tr>
        <w:tc>
          <w:tcPr>
            <w:tcW w:type="dxa" w:w="4320"/>
          </w:tcPr>
          <w:p>
            <w:r>
              <w:t>Вторичные конечные точки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Время достижения максимальной концентрации T&lt;sub&gt;max&lt;/sub&gt;&lt;br&gt;Период полувыведения из плазмы T&lt;sub&gt;1/2&lt;/sub&gt; (~6,2 ч)&lt;br&gt;Константа скорости терминальной элиминации k&lt;sub&gt;el&lt;/sub&gt; (~0,112 ч⁻¹)</w:t>
            </w:r>
          </w:p>
        </w:tc>
      </w:tr>
      <w:tr>
        <w:tc>
          <w:tcPr>
            <w:tcW w:type="dxa" w:w="4320"/>
          </w:tcPr>
          <w:p>
            <w:r>
              <w:t>Цели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**Основная цель:** оценка биоэквивалентности препаратов Метформин, таблетки с пролонгированным высвобождением, покрытые пленочной оболочкой, 850 мг (XXXXX, Россия) и Глюкофаж® Лонг, таблетки с пролонгированным высвобождением, 1000 мг (Мерк Сантэ С.а.С., Франция) после приема во время или после еды у здоровых добровольцев.&lt;br&gt;&lt;br&gt;**Дополнительная цель:** оценка безопасности однократного дозирования препарата Метформин, таблетки с пролонгированным высвобождением, покрытые пленочной оболочкой, 850 мг (XXXXX, Россия)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Дизайн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Открытое рандомизированное двухпериодное перекрестное исследование биоэквивалентности препаратов Метформин, таблетки с пролонгированным высвобождением, покрытые пленочной оболочкой, 850 мг (XXXXX, Россия) и Глюкофаж® Лонг, таблетки с пролонгированным высвобождением, 1000 мг после приема во время или после еды у здоровых добровольцев. В качестве препарата сравнения выбран оригинальный референтный препарат Глюкофаж® Лонг, таблетки с пролонгированным высвобождением, 1000 мг. В исследование будет включено [ТРЕБУЕТСЯ УТОЧНЕНИЕ — расчёт см. в строке «Размер выборки»] здоровых добровольцев в 1 исследовательском центре в России. При этом периоды приема препаратов исследования разделяются отмывочным периодом продолжительностью не менее 7 × T&lt;sub&gt;1/2&lt;/sub&gt; ≈ 7 × 6,2 ч ≈ 43–48 ч (рекомендуется не менее 7 суток; точное значение — [ТРЕБУЕТСЯ УТОЧНЕНИЕ]).</w:t>
            </w:r>
          </w:p>
        </w:tc>
      </w:tr>
      <w:tr>
        <w:tc>
          <w:tcPr>
            <w:tcW w:type="dxa" w:w="4320"/>
          </w:tcPr>
          <w:p>
            <w:r>
              <w:t>Исследуемая популяция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Здоровые добровольцы мужского и женского пола в возрасте 18–45 лет включительно, соответствующие всем требованиям критериев отбора.</w:t>
            </w:r>
          </w:p>
        </w:tc>
      </w:tr>
      <w:tr>
        <w:tc>
          <w:tcPr>
            <w:tcW w:type="dxa" w:w="4320"/>
          </w:tcPr>
          <w:p>
            <w:r>
              <w:t>Критерии 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Мужчины и женщины в возрасте от 18 до 45 лет включительно на момент подписания информированного согласия.&lt;br&gt;- Верифицированный диагноз «здоров» по данным стандартных клинических, лабораторных и инструментальных методов обследования.&lt;br&gt;- Индекс массы тела от 18,5 до 30 кг/м², масса тела не менее 50 кг.&lt;br&gt;- Гемодинамические показатели в пределах нормы: систолическое АД 100–130 мм рт. ст., диастолическое АД 60–90 мм рт. ст., частота сердечных сокращений 60–90 уд/мин.&lt;br&gt;- Отрицательные результаты тестов на беременность (для женщин), алкоголь, наркотические вещества.&lt;br&gt;- Отрицательные результаты серологических тестов на ВИЧ, гепатиты В и С, сифилис.&lt;br&gt;- Способность и готовность соблюдать требования протокола и подписать информированное согласие.</w:t>
            </w:r>
          </w:p>
        </w:tc>
      </w:tr>
      <w:tr>
        <w:tc>
          <w:tcPr>
            <w:tcW w:type="dxa" w:w="4320"/>
          </w:tcPr>
          <w:p>
            <w:r>
              <w:t>Критерии невключения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Наличие острых или хронических заболеваний сердечно-сосудистой, дыхательной, нервной, эндокринной, пищеварительной, мочевыделительной, кроветворной систем, а также других состояний, способных повлиять на абсорбцию, распределение, метаболизм или выведение препарата.&lt;br&gt;- Хирургические вмешательства на желудочно-кишечном тракте в анамнезе (кроме аппендэктомии).&lt;br&gt;- Прием любых лекарственных средств (включая безрецептурные, витамины, БАД) менее чем за 14 дней до скрининга.&lt;br&gt;- Курение более 10 сигарет в день или употребление никотинсодержащих продуктов.&lt;br&gt;- Употребление алкоголя или наркотических веществ в течение 48 ч до скрининга или положительные результаты соответствующих тестов.&lt;br&gt;- Беременность, лактация или отказ от использования надежных методов контрацепции у женщин репродуктивного возраста.&lt;br&gt;- Известная гиперчувствительность к Метформину или вспомогательным веществам.&lt;br&gt;- Донорство крови или плазмы (более 450 мл) менее чем за 3 месяца до исследования.&lt;br&gt;- Участие в другом клиническом исследовании в течение последних 3 месяцев.&lt;br&gt;- Пациенты с непереносимостью лактозы, дефицитом лактазы, глюкозо-галактозной мальабсорбцией (согласно атрибутам исследуемого препарата).</w:t>
            </w:r>
          </w:p>
        </w:tc>
      </w:tr>
      <w:tr>
        <w:tc>
          <w:tcPr>
            <w:tcW w:type="dxa" w:w="4320"/>
          </w:tcPr>
          <w:p>
            <w:r>
              <w:t>Критерии исключения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 Отказ добровольца от дальнейшего участия.&lt;br&gt;- Развитие серьезного нежелательного явления, требующего отмены терапии.&lt;br&gt;- Необходимость в сопутствующем лечении, влияющем на фармакокинетику.&lt;br&gt;- Нарушение протокола, влияющее на достоверность результатов.&lt;br&gt;- Возникновение рвоты или диареи в течение 24 ч после приема препарата.&lt;br&gt;- Положительный тест на беременность в ходе исследования.&lt;br&gt;- Любое другое состояние, которое, по мнению исследователя, делает невозможным дальнейшее участие.</w:t>
            </w:r>
          </w:p>
        </w:tc>
      </w:tr>
      <w:tr>
        <w:tc>
          <w:tcPr>
            <w:tcW w:type="dxa" w:w="4320"/>
          </w:tcPr>
          <w:p>
            <w:r>
              <w:t>Исследуемый препарат (T)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Метформин, 850 мг, таблетки с пролонгированным высвобождением, покрытые пленочной оболочкой&lt;br&gt;Производитель: XXXXX, Россия&lt;br&gt;Регистрационный номер: ЛП-003855&lt;br&gt;Условия хранения: [ТРЕБУЕТСЯ УТОЧНЕНИЕ — условия хранения для исследуемого препарата (T) производителя XXXXX не указаны в атрибутах]</w:t>
            </w:r>
          </w:p>
        </w:tc>
      </w:tr>
      <w:tr>
        <w:tc>
          <w:tcPr>
            <w:tcW w:type="dxa" w:w="4320"/>
          </w:tcPr>
          <w:p>
            <w:r>
              <w:t>Референтный препарат (R)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Глюкофаж® Лонг, 1000 мг, таблетки с пролонгированным высвобождением&lt;br&gt;Действующее вещество: Метформин&lt;br&gt;Лекарственная форма: таблетки с пролонгированным высвобождением&lt;br&gt;Способ применения: внутрь&lt;br&gt;Условия хранения: при температуре не выше 30 °C; хранить в недоступном для детей месте&lt;br&gt;Производитель: Мерк Сантэ С.а.С. (Merck Santé S.A.S.), Франция&lt;br&gt;Держатель регистрационного удостоверения: Мерк Сантэ С.а.С. (Merck Santé S.A.S.), Франция; РУ № ЛП-002396</w:t>
            </w:r>
          </w:p>
        </w:tc>
      </w:tr>
      <w:tr>
        <w:tc>
          <w:tcPr>
            <w:tcW w:type="dxa" w:w="4320"/>
          </w:tcPr>
          <w:p>
            <w:r>
              <w:t>Продолжительность исследования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Каждый доброволец будет принимать участие в исследовании приблизительно [ТРЕБУЕТСЯ УТОЧНЕНИЕ] дней, включая скрининг, периоды приема и наблюдение.&lt;br&gt;*(Расчётная оценка: 14 (скрининг) + период вымывания [ТРЕБУЕТСЯ УТОЧНЕНИЕ] + 9 (наблюдение) = [ТРЕБУЕТСЯ УТОЧНЕНИЕ] дней — точное значение зависит от утверждённой длительности отмывочного периода)*</w:t>
            </w:r>
          </w:p>
        </w:tc>
      </w:tr>
      <w:tr>
        <w:tc>
          <w:tcPr>
            <w:tcW w:type="dxa" w:w="4320"/>
          </w:tcPr>
          <w:p>
            <w:r>
              <w:t>Конечные точки эффективности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**Фармакокинетика:**&lt;br&gt;Метод анализа: высокоэффективная жидкостная хроматография с тандемным масс-спектрометрическим детектированием (ВЭЖХ-МС/МС).&lt;br&gt;**Первичные параметры:** AUC&lt;sub&gt;0-t&lt;/sub&gt;, AUC&lt;sub&gt;0-∞&lt;/sub&gt;, C&lt;sub&gt;max&lt;/sub&gt;.&lt;br&gt;**Вторичные параметры:** T&lt;sub&gt;max&lt;/sub&gt;.</w:t>
            </w:r>
          </w:p>
        </w:tc>
      </w:tr>
      <w:tr>
        <w:tc>
          <w:tcPr>
            <w:tcW w:type="dxa" w:w="4320"/>
          </w:tcPr>
          <w:p>
            <w:r>
              <w:t>Конечные точки безопасности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Регистрация НЯ, жизненных показателей, ЭКГ, лабораторных анализов на скрининге, в ходе исследования и на визите наблюдения.</w:t>
            </w:r>
          </w:p>
        </w:tc>
      </w:tr>
      <w:tr>
        <w:tc>
          <w:tcPr>
            <w:tcW w:type="dxa" w:w="4320"/>
          </w:tcPr>
          <w:p>
            <w:r>
              <w:t>Статистические методы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Анализ первичных конечных точек: используются ln-преобразованные C&lt;sub&gt;max&lt;/sub&gt;, AUC&lt;sub&gt;0-t&lt;/sub&gt; и AUC&lt;sub&gt;0-∞&lt;/sub&gt;. Модель ANOVA включает факторы: препарат, период, последовательность, субъект(последовательность). Рассчитывается 90% доверительный интервал для отношения средних геометрических.&lt;br&gt;**Оценка биоэквивалентности:** биоэквивалентность считается доказанной, если 90% ДИ для отношений C&lt;sub&gt;max&lt;/sub&gt;, AUC&lt;sub&gt;0-t&lt;/sub&gt; и AUC&lt;sub&gt;0-∞&lt;/sub&gt; находится в пределах 80,00–125,00%.</w:t>
            </w:r>
          </w:p>
        </w:tc>
      </w:tr>
      <w:tr>
        <w:tc>
          <w:tcPr>
            <w:tcW w:type="dxa" w:w="4320"/>
          </w:tcPr>
          <w:p>
            <w:r>
              <w:t>Анализ конечных точек безопасности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Описательная статистика НЯ, лабораторных и инструментальных показателей.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Расчет размера выборки производился на основе внутрииндивидуальной вариабельности CV&lt;sub&gt;intra&lt;/sub&gt;.&lt;br&gt;Из литературных данных CV&lt;sub&gt;intra&lt;/sub&gt; для AUC составляет ~18%, для C&lt;sub&gt;max&lt;/sub&gt; — ~18%.&lt;br&gt;&lt;br&gt;**Расчёт по формуле для 2×2 кроссовер-дизайна** (θ = 1,0; α = 0,05; мощность 80%):&lt;br&gt;N ≈ 315 × CV² = 315 × (0,18)² = 315 × 0,0324 ≈ **11** добровольцев (округление вверх).&lt;br&gt;&lt;br&gt;Однако с учётом практических требований регуляторов (минимальный размер выборки для исследований БЭ, как правило, не менее 12–18 человек) рекомендуется включение не менее **18** добровольцев, полностью завершивших исследование (be_study_n = 18).&lt;br&gt;&lt;br&gt;С учётом возможного отсева **15%**: be_study_n_drop_out = 18 / 0,85 ≈ **22** добровольца (округление вверх).&lt;br&gt;С учётом возможного отсева на скрининге **20%**: be_study_n_all = 22 / 0,80 ≈ **28** добровольцев (округление вверх).&lt;br&gt;&lt;br&gt;*Итого: скринировать до 28 добровольцев, рандомизировать 22, завершить исследование не менее 18.*</w:t>
            </w:r>
          </w:p>
        </w:tc>
      </w:tr>
      <w:tr>
        <w:tc>
          <w:tcPr>
            <w:tcW w:type="dxa" w:w="4320"/>
          </w:tcPr>
          <w:p>
            <w:r>
              <w:t>Рандомизация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Добровольцы будут распределены в одну из двух групп методом блочной рандомизации 1:1. В каждую группу будет включено **11** добровольцев (be_study_n_half = 22 / 2 = 11).</w:t>
            </w:r>
          </w:p>
        </w:tc>
      </w:tr>
      <w:tr>
        <w:tc>
          <w:tcPr>
            <w:tcW w:type="dxa" w:w="4320"/>
          </w:tcPr>
          <w:p>
            <w:r>
              <w:t>Версия и дата протокола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Версия [вставить номер] от [вставить дату]</w:t>
            </w:r>
          </w:p>
        </w:tc>
      </w:tr>
      <w:tr>
        <w:tc>
          <w:tcPr>
            <w:tcW w:type="dxa" w:w="4320"/>
          </w:tcPr>
          <w:p>
            <w:r>
              <w:t>Примечания/допущения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1. **Дозировка препаратов:** исследуемый препарат (T) — 850 мг, референтный препарат (R) — 1000 мг. Различие дозировок обусловлено данными атрибутов; пропорциональность доз и обоснование выбора дозы должны быть подтверждены в протоколе.&lt;br&gt;2. **Условия приёма пищи (fed):** подтверждено инструкцией по применению Глюкофаж® Лонг («во время или после ужина»); PK-данные Cmax/Tmax получены в fed-условиях.&lt;br&gt;3. **T&lt;sub&gt;1/2&lt;/sub&gt; ~6,2 ч** и **k&lt;sub&gt;el&lt;/sub&gt; ~0,112 ч⁻¹** — значения для плазмы, источник: FDA-одобренные инструкции (Glucophage XR, drugs.com); k&lt;sub&gt;el&lt;/sub&gt; рассчитан как ln(2)/6,2.&lt;br&gt;4. **CV&lt;sub&gt;intra&lt;/sub&gt; ~18%** — данные FDA Clinical Pharmacology Review NDA 212595 для метформина ER 750 мг, fed; применено к ER-форме метформина в целом как наилучшее доступное приближение.&lt;br&gt;5. **Размер выборки** рассчитан по упрощённой формуле N ≈ 315 × CV² для 2×2 кроссовер-дизайна. Итоговое значение be_study_n = 18 принято с учётом практического минимума; окончательный размер выборки требует подтверждения биостатистиком.&lt;br&gt;6. **Отмывочный период** не указан в атрибутах; ориентировочно рекомендуется ≥7 × T&lt;sub&gt;1/2&lt;/sub&gt; плазмы ≈ 43–48 ч, на практике — не менее 7 суток. Точное значение [ТРЕБУЕТСЯ УТОЧНЕНИЕ].&lt;br&gt;7. **Продолжительность исследования** не может быть рассчитана точно без утверждённого отмывочного периода; формула: 14 + washout + 9 дней.&lt;br&gt;8. **AUC&lt;sub&gt;0-t&lt;/sub&gt; и AUC&lt;sub&gt;0-∞&lt;/sub&gt;** в числовом виде для дозы 1000 мг Глюкофаж® Лонг в открытых источниках не найдены.&lt;br&gt;9. **Условия хранения исследуемого препарата (T)** производителя XXXXX не указаны в атрибутах — [ТРЕБУЕТСЯ УТОЧНЕНИЕ].&lt;br&gt;10. **Дизайн исследования** принят как стандартный 2×2 кроссовер; при необходимости репликативного дизайна размер выборки подлежит пересчёту.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