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3" w:lineRule="auto"/>
      </w:pPr>
      <w:r>
        <w:rPr>
          <w:rFonts w:ascii="Aptos" w:hAnsi="Aptos" w:eastAsia="Aptos"/>
          <w:b/>
          <w:i w:val="0"/>
          <w:color w:val="1C4C3B"/>
          <w:sz w:val="18"/>
        </w:rPr>
        <w:t>ULTRA-MODERN UI / UX ELEMENTS</w:t>
      </w:r>
    </w:p>
    <w:p>
      <w:pPr>
        <w:spacing w:before="0" w:after="36" w:line="252" w:lineRule="auto"/>
      </w:pPr>
      <w:r>
        <w:rPr>
          <w:rFonts w:ascii="Aptos" w:hAnsi="Aptos" w:eastAsia="Aptos"/>
          <w:b/>
          <w:i w:val="0"/>
          <w:color w:val="202C26"/>
          <w:sz w:val="48"/>
        </w:rPr>
        <w:t>Shweta Website Elements Guide</w:t>
      </w:r>
    </w:p>
    <w:p>
      <w:pPr>
        <w:spacing w:before="0" w:after="100" w:line="283" w:lineRule="auto"/>
      </w:pPr>
      <w:r>
        <w:rPr>
          <w:rFonts w:ascii="Aptos" w:hAnsi="Aptos" w:eastAsia="Aptos"/>
          <w:b w:val="0"/>
          <w:i w:val="0"/>
          <w:color w:val="5C6661"/>
          <w:sz w:val="22"/>
        </w:rPr>
        <w:t>Named interface elements and interaction patterns for an ultra-modern 2026 healthcare website direction. This file is focused on page elements, not code.</w:t>
      </w:r>
    </w:p>
    <w:p>
      <w:pPr>
        <w:spacing w:before="0" w:after="44" w:line="283" w:lineRule="auto"/>
      </w:pPr>
      <w:r>
        <w:rPr>
          <w:rFonts w:ascii="Aptos" w:hAnsi="Aptos" w:eastAsia="Aptos"/>
          <w:b/>
          <w:i w:val="0"/>
          <w:color w:val="1C4C3B"/>
          <w:sz w:val="27"/>
        </w:rPr>
        <w:t>Homepage hero and trust elements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Kinetic Credibility Hero — a large-screen hero with subtle motion, layered trust cues, and a premium appointment CTA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Floating Proof Ribbon — a horizontal strip for experience, patient count, clinic locations, and online consultation availability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Magnetic Primary CTA — a button with soft hover pull, micro-shadow expansion, and clear action language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Scroll Progress Rail — a thin progress indicator that gives structure on long-scroll pages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Doctor Presence Card — a floating credential panel anchored near the hero visual</w:t>
      </w:r>
    </w:p>
    <w:p/>
    <w:p>
      <w:pPr>
        <w:spacing w:before="0" w:after="44" w:line="283" w:lineRule="auto"/>
      </w:pPr>
      <w:r>
        <w:rPr>
          <w:rFonts w:ascii="Aptos" w:hAnsi="Aptos" w:eastAsia="Aptos"/>
          <w:b/>
          <w:i w:val="0"/>
          <w:color w:val="1C4C3B"/>
          <w:sz w:val="27"/>
        </w:rPr>
        <w:t>Service discovery elements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Bento Service Grid — asymmetrical card grid for the 12 specialties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Intent-Based Filter Chips — chips for women’s health, respiratory, skin, pediatric, lifestyle-linked, chronic care, and supportive care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Command Palette Service Search — a spotlight-style quick search for conditions and services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Smart Hover Reveal Cards — cards that expose symptom tags, CTA, and page preview on hover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Service Constellation Map — a more editorial alternative to a plain grid for related conditions</w:t>
      </w:r>
    </w:p>
    <w:p/>
    <w:p>
      <w:pPr>
        <w:spacing w:before="0" w:after="44" w:line="283" w:lineRule="auto"/>
      </w:pPr>
      <w:r>
        <w:rPr>
          <w:rFonts w:ascii="Aptos" w:hAnsi="Aptos" w:eastAsia="Aptos"/>
          <w:b/>
          <w:i w:val="0"/>
          <w:color w:val="1C4C3B"/>
          <w:sz w:val="27"/>
        </w:rPr>
        <w:t>About page elements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Founder Story Split Screen — biography on one side, portrait or clinic scene on the other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Credential Timeline Rail — a vertical or horizontal timeline for BHMS, MD, IACH Greece, clinics, and online expansion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Treatment Philosophy Tiles — bold principle cards such as individualized care, deep case-taking, and complementary medicine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Clinic Footprint Map Band — a clean location band for Zirakpur, Budhlada, and online reach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Humanized Consultation Reel — short narrative blocks showing what a first consult feels like</w:t>
      </w:r>
    </w:p>
    <w:p/>
    <w:p>
      <w:pPr>
        <w:spacing w:before="0" w:after="44" w:line="283" w:lineRule="auto"/>
      </w:pPr>
      <w:r>
        <w:rPr>
          <w:rFonts w:ascii="Aptos" w:hAnsi="Aptos" w:eastAsia="Aptos"/>
          <w:b/>
          <w:i w:val="0"/>
          <w:color w:val="1C4C3B"/>
          <w:sz w:val="27"/>
        </w:rPr>
        <w:t>Service page depth elements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Sticky Section Navigator — a local page navigation rail for overview, symptoms, consultation, FAQ, and CTA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Symptom Cluster Chips — short, scannable chips that help visitors self-identify faster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Expectation Setting Panel — a prominent block explaining realistic, responsible consultation framing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Red Flag Safety Drawer — a visible block that highlights when urgent medical care is needed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What To Bring Capsule — a compact checklist for reports, scans, medicine lists, and timelines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Quality-of-Life Story Cards — cards focused on sleep, work, confidence, routine, and daily function</w:t>
      </w:r>
    </w:p>
    <w:p/>
    <w:p>
      <w:pPr>
        <w:spacing w:before="0" w:after="44" w:line="283" w:lineRule="auto"/>
      </w:pPr>
      <w:r>
        <w:rPr>
          <w:rFonts w:ascii="Aptos" w:hAnsi="Aptos" w:eastAsia="Aptos"/>
          <w:b/>
          <w:i w:val="0"/>
          <w:color w:val="1C4C3B"/>
          <w:sz w:val="27"/>
        </w:rPr>
        <w:t>Interaction and motion patterns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Soft Parallax Layers — slow, elegant depth without distraction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Micro-Reveal Typography — controlled text reveal for section headings and stat numbers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Magnetic Hover States — subtle attraction effect for buttons and cards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Depth-on-Scroll Panels — cards that rise or blur-shift slightly while scrolling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Contextual Sticky CTA — CTA that appears after user engagement, not immediately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Motion-Gentle Accessibility Mode — reduced-motion fallback without breaking visual polish</w:t>
      </w:r>
    </w:p>
    <w:p/>
    <w:p>
      <w:pPr>
        <w:spacing w:before="0" w:after="44" w:line="283" w:lineRule="auto"/>
      </w:pPr>
      <w:r>
        <w:rPr>
          <w:rFonts w:ascii="Aptos" w:hAnsi="Aptos" w:eastAsia="Aptos"/>
          <w:b/>
          <w:i w:val="0"/>
          <w:color w:val="1C4C3B"/>
          <w:sz w:val="27"/>
        </w:rPr>
        <w:t>Trust and conversion elements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Consultation Pathway Cards — book, consult, plan, follow-up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Quiet Testimonial Carousel — restrained social proof with credibility-first design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Doctor Credentials Band — a clean section that repeats key qualifications without clutter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FAQ Intelligence Accordion — expandable answers with strong hierarchy and safety-aware wording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Footer Action Dock — a conversion footer with call, WhatsApp, appointment, and location actions</w:t>
      </w:r>
    </w:p>
    <w:p/>
    <w:p>
      <w:pPr>
        <w:spacing w:before="0" w:after="44" w:line="283" w:lineRule="auto"/>
      </w:pPr>
      <w:r>
        <w:rPr>
          <w:rFonts w:ascii="Aptos" w:hAnsi="Aptos" w:eastAsia="Aptos"/>
          <w:b/>
          <w:i w:val="0"/>
          <w:color w:val="1C4C3B"/>
          <w:sz w:val="27"/>
        </w:rPr>
        <w:t>2026 polish details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Adaptive Glass Navigation — crisp translucent nav with strong contrast and subtle blur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Editorial White Space Rhythm — generous spacing and pacing rather than dense health-site clutter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Soft Gradient Surface System — muted greens, stone neutrals, and low-saturation highlight tones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Rounded Precision Cards — refined corner radius with clear hierarchy</w:t>
      </w:r>
    </w:p>
    <w:p>
      <w:pPr>
        <w:pStyle w:val="ListBullet"/>
        <w:spacing w:before="0" w:after="18" w:line="273" w:lineRule="auto"/>
      </w:pPr>
      <w:r>
        <w:rPr>
          <w:rFonts w:ascii="Aptos" w:hAnsi="Aptos" w:eastAsia="Aptos"/>
          <w:b w:val="0"/>
          <w:i w:val="0"/>
          <w:color w:val="202C26"/>
          <w:sz w:val="21"/>
        </w:rPr>
        <w:t>Tone-Calibrated Icons — minimal, medically appropriate icons rather than playful generic symbols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92"/>
            <w:shd w:fill="F3F7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5C6661"/>
                <w:sz w:val="19"/>
              </w:rPr>
              <w:t>Direction note: the visual system should feel luxurious through restraint, not through clutter. The modernity should come from motion quality, hierarchy, trust density, and interaction clarity.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 w:line="240" w:lineRule="auto"/>
    </w:pPr>
    <w:r>
      <w:rPr>
        <w:rFonts w:ascii="Aptos" w:hAnsi="Aptos" w:eastAsia="Aptos"/>
        <w:b w:val="0"/>
        <w:i w:val="0"/>
        <w:color w:val="5C6661"/>
        <w:sz w:val="16"/>
      </w:rPr>
      <w:t>Prepared for the ultra-modern Shweta website content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before="0" w:after="0" w:line="240" w:lineRule="auto"/>
    </w:pPr>
    <w:r>
      <w:rPr>
        <w:rFonts w:ascii="Aptos" w:hAnsi="Aptos" w:eastAsia="Aptos"/>
        <w:b w:val="0"/>
        <w:i w:val="0"/>
        <w:color w:val="5C6661"/>
        <w:sz w:val="17"/>
      </w:rPr>
      <w:t>Ultra-Modern Elements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