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Depression &amp; Anxiety</w:t>
      </w:r>
    </w:p>
    <w:p>
      <w:pPr>
        <w:spacing w:before="0" w:after="110" w:line="278" w:lineRule="auto"/>
      </w:pPr>
      <w:r>
        <w:rPr>
          <w:rFonts w:ascii="Aptos" w:hAnsi="Aptos" w:eastAsia="Aptos"/>
          <w:b w:val="0"/>
          <w:i w:val="0"/>
          <w:color w:val="5C6661"/>
          <w:sz w:val="22"/>
        </w:rPr>
        <w:t>A nuanced, premium page for emotional wellbeing support that feels safe, modern, and clinically responsible without sounding cold or overpromising.</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/services/depression-anxiety</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speak to adults and young adults dealing with persistent worry, panic-like episodes, low mood, mental exhaustion, sleep disturbance, irritability, or a sense of being overwhelmed.</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depression &amp; anxiety.</w:t>
        <w:br/>
        <w:t xml:space="preserve">Subheadline: A premium consultation page for people seeking careful listening, individualized case review, and a calmer path through depression &amp; anxiety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Ambient breathing-wave hero animation</w:t>
      </w:r>
    </w:p>
    <w:p>
      <w:pPr>
        <w:pStyle w:val="ListBullet"/>
        <w:spacing w:before="0" w:after="20" w:line="273" w:lineRule="auto"/>
      </w:pPr>
      <w:r>
        <w:rPr>
          <w:rFonts w:ascii="Aptos" w:hAnsi="Aptos" w:eastAsia="Aptos"/>
          <w:b w:val="0"/>
          <w:i w:val="0"/>
          <w:color w:val="202C26"/>
          <w:sz w:val="20"/>
        </w:rPr>
        <w:t>Mood-state chips for worry, burnout, panic, low mood, sleep</w:t>
      </w:r>
    </w:p>
    <w:p>
      <w:pPr>
        <w:pStyle w:val="ListBullet"/>
        <w:spacing w:before="0" w:after="20" w:line="273" w:lineRule="auto"/>
      </w:pPr>
      <w:r>
        <w:rPr>
          <w:rFonts w:ascii="Aptos" w:hAnsi="Aptos" w:eastAsia="Aptos"/>
          <w:b w:val="0"/>
          <w:i w:val="0"/>
          <w:color w:val="202C26"/>
          <w:sz w:val="20"/>
        </w:rPr>
        <w:t>Immediate-help alert bar pinned near top</w:t>
      </w:r>
    </w:p>
    <w:p>
      <w:pPr>
        <w:pStyle w:val="ListBullet"/>
        <w:spacing w:before="0" w:after="20" w:line="273" w:lineRule="auto"/>
      </w:pPr>
      <w:r>
        <w:rPr>
          <w:rFonts w:ascii="Aptos" w:hAnsi="Aptos" w:eastAsia="Aptos"/>
          <w:b w:val="0"/>
          <w:i w:val="0"/>
          <w:color w:val="202C26"/>
          <w:sz w:val="20"/>
        </w:rPr>
        <w:t>Privacy-first CTA cluster</w:t>
      </w:r>
    </w:p>
    <w:p>
      <w:pPr>
        <w:pStyle w:val="ListBullet"/>
        <w:spacing w:before="0" w:after="20" w:line="273" w:lineRule="auto"/>
      </w:pPr>
      <w:r>
        <w:rPr>
          <w:rFonts w:ascii="Aptos" w:hAnsi="Aptos" w:eastAsia="Aptos"/>
          <w:b w:val="0"/>
          <w:i w:val="0"/>
          <w:color w:val="202C26"/>
          <w:sz w:val="20"/>
        </w:rPr>
        <w:t>Function-impact cards for work, study, relationships, sleep</w:t>
      </w:r>
    </w:p>
    <w:p>
      <w:pPr>
        <w:pStyle w:val="ListBullet"/>
        <w:spacing w:before="0" w:after="20" w:line="273" w:lineRule="auto"/>
      </w:pPr>
      <w:r>
        <w:rPr>
          <w:rFonts w:ascii="Aptos" w:hAnsi="Aptos" w:eastAsia="Aptos"/>
          <w:b w:val="0"/>
          <w:i w:val="0"/>
          <w:color w:val="202C26"/>
          <w:sz w:val="20"/>
        </w:rPr>
        <w:t>Compassionate FAQ accordion with therapist-referral note</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depression &amp; anxiety because they want a generic treatment page. They search because something in daily life has been disrupted. Sometimes it is a symptom they can see, such as Persistent worry, racing thoughts, or overthinking, Low mood, low motivation, and social withdrawal, Panic sensations, restlessness, or sleep disturbance.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depression &amp; anxiety, the body copy should outline the kinds of patterns patients commonly notice: Persistent worry, racing thoughts, or overthinking; Low mood, low motivation, and social withdrawal; Panic sensations, restlessness, or sleep disturbance; Stress-linked headaches, gut symptoms, or body tension; Emotional overload affecting work, study, or relationships.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depression &amp; anxiety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self-harm thoughts or suicide risk; psychosis, mania, or severe behavioral change; substance withdrawal or unsafe functioning; panic with concerning chest symptoms or fainting needing medical rule-out.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How should this page handle safety?</w:t>
      </w:r>
    </w:p>
    <w:p>
      <w:pPr>
        <w:spacing w:before="0" w:after="36" w:line="276" w:lineRule="auto"/>
      </w:pPr>
      <w:r>
        <w:rPr>
          <w:rFonts w:ascii="Aptos" w:hAnsi="Aptos" w:eastAsia="Aptos"/>
          <w:b w:val="0"/>
          <w:i w:val="0"/>
          <w:color w:val="202C26"/>
          <w:sz w:val="20"/>
        </w:rPr>
        <w:t>It must include a visible urgent-help block for self-harm risk, suicidal thoughts, or severe mental health crisis.</w:t>
      </w:r>
    </w:p>
    <w:p>
      <w:pPr>
        <w:spacing w:before="0" w:after="12" w:line="283" w:lineRule="auto"/>
      </w:pPr>
      <w:r>
        <w:rPr>
          <w:rFonts w:ascii="Aptos" w:hAnsi="Aptos" w:eastAsia="Aptos"/>
          <w:b/>
          <w:i w:val="0"/>
          <w:color w:val="202C26"/>
          <w:sz w:val="21"/>
        </w:rPr>
        <w:t>Can this page acknowledge therapy and psychiatry?</w:t>
      </w:r>
    </w:p>
    <w:p>
      <w:pPr>
        <w:spacing w:before="0" w:after="36" w:line="276" w:lineRule="auto"/>
      </w:pPr>
      <w:r>
        <w:rPr>
          <w:rFonts w:ascii="Aptos" w:hAnsi="Aptos" w:eastAsia="Aptos"/>
          <w:b w:val="0"/>
          <w:i w:val="0"/>
          <w:color w:val="202C26"/>
          <w:sz w:val="20"/>
        </w:rPr>
        <w:t>Yes. That strengthens trust. It should say that therapy, psychiatric review, and crisis services remain essential where indicated.</w:t>
      </w:r>
    </w:p>
    <w:p>
      <w:pPr>
        <w:spacing w:before="0" w:after="12" w:line="283" w:lineRule="auto"/>
      </w:pPr>
      <w:r>
        <w:rPr>
          <w:rFonts w:ascii="Aptos" w:hAnsi="Aptos" w:eastAsia="Aptos"/>
          <w:b/>
          <w:i w:val="0"/>
          <w:color w:val="202C26"/>
          <w:sz w:val="21"/>
        </w:rPr>
        <w:t>Should the language feel clinical or warm?</w:t>
      </w:r>
    </w:p>
    <w:p>
      <w:pPr>
        <w:spacing w:before="0" w:after="36" w:line="276" w:lineRule="auto"/>
      </w:pPr>
      <w:r>
        <w:rPr>
          <w:rFonts w:ascii="Aptos" w:hAnsi="Aptos" w:eastAsia="Aptos"/>
          <w:b w:val="0"/>
          <w:i w:val="0"/>
          <w:color w:val="202C26"/>
          <w:sz w:val="20"/>
        </w:rPr>
        <w:t>Warm first, clinical second. The user should feel seen before they feel informed.</w:t>
      </w:r>
    </w:p>
    <w:p>
      <w:pPr>
        <w:spacing w:before="0" w:after="12" w:line="283" w:lineRule="auto"/>
      </w:pPr>
      <w:r>
        <w:rPr>
          <w:rFonts w:ascii="Aptos" w:hAnsi="Aptos" w:eastAsia="Aptos"/>
          <w:b/>
          <w:i w:val="0"/>
          <w:color w:val="202C26"/>
          <w:sz w:val="21"/>
        </w:rPr>
        <w:t>What CTA is best?</w:t>
      </w:r>
    </w:p>
    <w:p>
      <w:pPr>
        <w:spacing w:before="0" w:after="36" w:line="276" w:lineRule="auto"/>
      </w:pPr>
      <w:r>
        <w:rPr>
          <w:rFonts w:ascii="Aptos" w:hAnsi="Aptos" w:eastAsia="Aptos"/>
          <w:b w:val="0"/>
          <w:i w:val="0"/>
          <w:color w:val="202C26"/>
          <w:sz w:val="20"/>
        </w:rPr>
        <w:t>'Book a confidential emotional-wellbeing consultation' works well.</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Depression &amp; Anxiety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