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jc w:val="left"/>
      </w:pPr>
      <w:r>
        <w:rPr>
          <w:rFonts w:ascii="Aptos" w:hAnsi="Aptos" w:eastAsia="Aptos"/>
          <w:b/>
          <w:i w:val="0"/>
          <w:color w:val="1C4C3B"/>
          <w:sz w:val="18"/>
        </w:rPr>
        <w:t>ULTRA-MODERN SERVICE PAGE BRIEF</w:t>
      </w:r>
    </w:p>
    <w:p>
      <w:pPr>
        <w:spacing w:before="0" w:after="40" w:line="252" w:lineRule="auto"/>
        <w:jc w:val="left"/>
      </w:pPr>
      <w:r>
        <w:rPr>
          <w:rFonts w:ascii="Aptos" w:hAnsi="Aptos" w:eastAsia="Aptos"/>
          <w:b/>
          <w:i w:val="0"/>
          <w:color w:val="202C26"/>
          <w:sz w:val="48"/>
        </w:rPr>
        <w:t>Women's Health</w:t>
      </w:r>
    </w:p>
    <w:p>
      <w:pPr>
        <w:spacing w:before="0" w:after="110" w:line="278" w:lineRule="auto"/>
      </w:pPr>
      <w:r>
        <w:rPr>
          <w:rFonts w:ascii="Aptos" w:hAnsi="Aptos" w:eastAsia="Aptos"/>
          <w:b w:val="0"/>
          <w:i w:val="0"/>
          <w:color w:val="5C6661"/>
          <w:sz w:val="22"/>
        </w:rPr>
        <w:t>A detailed, polished service-page brief for PCOS/PCOD, painful periods, cycle irregularity, hormonal discomfort, fertility concerns, and whole-person care.</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Suggested route</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/services/womens-health</w:t>
            </w:r>
          </w:p>
        </w:tc>
      </w:tr>
      <w:tr>
        <w:tc>
          <w:tcPr>
            <w:tcW w:type="dxa" w:w="2880"/>
            <w:vAlign w:val="center"/>
            <w:tcMar>
              <w:top w:w="120" w:type="dxa"/>
              <w:start w:w="130" w:type="dxa"/>
              <w:bottom w:w="120" w:type="dxa"/>
              <w:end w:w="130" w:type="dxa"/>
            </w:tcMar>
            <w:shd w:fill="E6ECE9"/>
          </w:tcPr>
          <w:p>
            <w:pPr>
              <w:spacing w:before="0" w:after="0" w:line="252" w:lineRule="auto"/>
            </w:pPr>
            <w:r/>
            <w:r>
              <w:rPr>
                <w:rFonts w:ascii="Aptos" w:hAnsi="Aptos" w:eastAsia="Aptos"/>
                <w:b/>
                <w:i w:val="0"/>
                <w:color w:val="1C4C3B"/>
                <w:sz w:val="20"/>
              </w:rPr>
              <w:t>Page intent</w:t>
            </w:r>
          </w:p>
        </w:tc>
        <w:tc>
          <w:tcPr>
            <w:tcW w:type="dxa" w:w="6912"/>
            <w:vAlign w:val="center"/>
            <w:tcMar>
              <w:top w:w="120" w:type="dxa"/>
              <w:start w:w="130" w:type="dxa"/>
              <w:bottom w:w="120" w:type="dxa"/>
              <w:end w:w="130" w:type="dxa"/>
            </w:tcMar>
            <w:shd w:fill="F8FAF9"/>
          </w:tcPr>
          <w:p>
            <w:pPr>
              <w:spacing w:before="0" w:after="0" w:line="268" w:lineRule="auto"/>
            </w:pPr>
            <w:r/>
            <w:r>
              <w:rPr>
                <w:rFonts w:ascii="Aptos" w:hAnsi="Aptos" w:eastAsia="Aptos"/>
                <w:b w:val="0"/>
                <w:i w:val="0"/>
                <w:color w:val="202C26"/>
                <w:sz w:val="20"/>
              </w:rPr>
              <w:t>This page should serve teens, young adults, women trying to understand cycle irregularity, those living with PCOS/PCOD or endometriosis-like symptoms, and patients looking for a calmer consultation experience.</w:t>
            </w:r>
          </w:p>
        </w:tc>
      </w:tr>
    </w:tbl>
    <w:p/>
    <w:p>
      <w:pPr>
        <w:spacing w:before="0" w:after="50" w:line="283" w:lineRule="auto"/>
      </w:pPr>
      <w:r>
        <w:rPr>
          <w:rFonts w:ascii="Aptos" w:hAnsi="Aptos" w:eastAsia="Aptos"/>
          <w:b/>
          <w:i w:val="0"/>
          <w:color w:val="1C4C3B"/>
          <w:sz w:val="27"/>
        </w:rPr>
        <w:t>Hero copy</w:t>
      </w:r>
    </w:p>
    <w:p>
      <w:pPr>
        <w:spacing w:before="0" w:after="48" w:line="280" w:lineRule="auto"/>
      </w:pPr>
      <w:r>
        <w:rPr>
          <w:rFonts w:ascii="Aptos" w:hAnsi="Aptos" w:eastAsia="Aptos"/>
          <w:b w:val="0"/>
          <w:i w:val="0"/>
          <w:color w:val="202C26"/>
          <w:sz w:val="21"/>
        </w:rPr>
        <w:t>Headline: Personalized support for women's health.</w:t>
        <w:br/>
        <w:t xml:space="preserve">Subheadline: A premium consultation page for people seeking careful listening, individualized case review, and a calmer path through women's health concerns. The page should feel sophisticated, medically responsible, and emotionally reassuring. </w:t>
        <w:br/>
        <w:t>Primary CTA: Book a consultation</w:t>
        <w:br/>
        <w:t>Secondary CTA: See what to expect</w:t>
      </w:r>
    </w:p>
    <w:p>
      <w:pPr>
        <w:spacing w:before="0" w:after="50" w:line="283" w:lineRule="auto"/>
      </w:pPr>
      <w:r>
        <w:rPr>
          <w:rFonts w:ascii="Aptos" w:hAnsi="Aptos" w:eastAsia="Aptos"/>
          <w:b/>
          <w:i w:val="0"/>
          <w:color w:val="1C4C3B"/>
          <w:sz w:val="27"/>
        </w:rPr>
        <w:t>Recommended ultra-modern page modules</w:t>
      </w:r>
    </w:p>
    <w:p>
      <w:pPr>
        <w:pStyle w:val="ListBullet"/>
        <w:spacing w:before="0" w:after="20" w:line="273" w:lineRule="auto"/>
      </w:pPr>
      <w:r>
        <w:rPr>
          <w:rFonts w:ascii="Aptos" w:hAnsi="Aptos" w:eastAsia="Aptos"/>
          <w:b w:val="0"/>
          <w:i w:val="0"/>
          <w:color w:val="202C26"/>
          <w:sz w:val="20"/>
        </w:rPr>
        <w:t>Soft-gradient hormone-cycle hero dial</w:t>
      </w:r>
    </w:p>
    <w:p>
      <w:pPr>
        <w:pStyle w:val="ListBullet"/>
        <w:spacing w:before="0" w:after="20" w:line="273" w:lineRule="auto"/>
      </w:pPr>
      <w:r>
        <w:rPr>
          <w:rFonts w:ascii="Aptos" w:hAnsi="Aptos" w:eastAsia="Aptos"/>
          <w:b w:val="0"/>
          <w:i w:val="0"/>
          <w:color w:val="202C26"/>
          <w:sz w:val="20"/>
        </w:rPr>
        <w:t>Private-consultation reassurance ribbon</w:t>
      </w:r>
    </w:p>
    <w:p>
      <w:pPr>
        <w:pStyle w:val="ListBullet"/>
        <w:spacing w:before="0" w:after="20" w:line="273" w:lineRule="auto"/>
      </w:pPr>
      <w:r>
        <w:rPr>
          <w:rFonts w:ascii="Aptos" w:hAnsi="Aptos" w:eastAsia="Aptos"/>
          <w:b w:val="0"/>
          <w:i w:val="0"/>
          <w:color w:val="202C26"/>
          <w:sz w:val="20"/>
        </w:rPr>
        <w:t>Condition clusters for PCOS, painful periods, endometriosis support, fertility questions</w:t>
      </w:r>
    </w:p>
    <w:p>
      <w:pPr>
        <w:pStyle w:val="ListBullet"/>
        <w:spacing w:before="0" w:after="20" w:line="273" w:lineRule="auto"/>
      </w:pPr>
      <w:r>
        <w:rPr>
          <w:rFonts w:ascii="Aptos" w:hAnsi="Aptos" w:eastAsia="Aptos"/>
          <w:b w:val="0"/>
          <w:i w:val="0"/>
          <w:color w:val="202C26"/>
          <w:sz w:val="20"/>
        </w:rPr>
        <w:t>Cycle-symptom tracker mock component</w:t>
      </w:r>
    </w:p>
    <w:p>
      <w:pPr>
        <w:pStyle w:val="ListBullet"/>
        <w:spacing w:before="0" w:after="20" w:line="273" w:lineRule="auto"/>
      </w:pPr>
      <w:r>
        <w:rPr>
          <w:rFonts w:ascii="Aptos" w:hAnsi="Aptos" w:eastAsia="Aptos"/>
          <w:b w:val="0"/>
          <w:i w:val="0"/>
          <w:color w:val="202C26"/>
          <w:sz w:val="20"/>
        </w:rPr>
        <w:t>Elegant sticky tab system for teens, adults, fertility support</w:t>
      </w:r>
    </w:p>
    <w:p>
      <w:pPr>
        <w:pStyle w:val="ListBullet"/>
        <w:spacing w:before="0" w:after="20" w:line="273" w:lineRule="auto"/>
      </w:pPr>
      <w:r>
        <w:rPr>
          <w:rFonts w:ascii="Aptos" w:hAnsi="Aptos" w:eastAsia="Aptos"/>
          <w:b w:val="0"/>
          <w:i w:val="0"/>
          <w:color w:val="202C26"/>
          <w:sz w:val="20"/>
        </w:rPr>
        <w:t>Minimal story cards centered on relief, privacy, and clarity</w:t>
      </w:r>
    </w:p>
    <w:p/>
    <w:p>
      <w:pPr>
        <w:spacing w:before="0" w:after="50" w:line="283" w:lineRule="auto"/>
      </w:pPr>
      <w:r>
        <w:rPr>
          <w:rFonts w:ascii="Aptos" w:hAnsi="Aptos" w:eastAsia="Aptos"/>
          <w:b/>
          <w:i w:val="0"/>
          <w:color w:val="1C4C3B"/>
          <w:sz w:val="27"/>
        </w:rPr>
        <w:t>Long-form page copy</w:t>
      </w:r>
    </w:p>
    <w:p>
      <w:pPr>
        <w:spacing w:before="0" w:after="48" w:line="280" w:lineRule="auto"/>
      </w:pPr>
      <w:r>
        <w:rPr>
          <w:rFonts w:ascii="Aptos" w:hAnsi="Aptos" w:eastAsia="Aptos"/>
          <w:b w:val="0"/>
          <w:i w:val="0"/>
          <w:color w:val="202C26"/>
          <w:sz w:val="21"/>
        </w:rPr>
        <w:t>People usually do not search for women's health because they want a generic treatment page. They search because something in daily life has been disrupted. Sometimes it is a symptom they can see, such as Irregular, delayed, or absent periods, Painful or heavy menstruation, Acne, hair fall, weight fluctuation, or cycle-linked mood shifts. Sometimes it is the uncertainty itself: not knowing why the pattern started, not knowing whether it is serious, not knowing what kind of consultation will actually take time to understand the whole picture. This page should begin from that place. It should not feel like a template written only for keywords. It should feel like a page that understands how a real person arrives here — often after trying quick fixes, postponing care, or quietly living with the issue for longer than they wanted to.</w:t>
      </w:r>
    </w:p>
    <w:p>
      <w:pPr>
        <w:spacing w:before="0" w:after="48" w:line="280" w:lineRule="auto"/>
      </w:pPr>
      <w:r>
        <w:rPr>
          <w:rFonts w:ascii="Aptos" w:hAnsi="Aptos" w:eastAsia="Aptos"/>
          <w:b w:val="0"/>
          <w:i w:val="0"/>
          <w:color w:val="202C26"/>
          <w:sz w:val="21"/>
        </w:rPr>
        <w:t>The content should explain that Dr. Shweta’s clinic approaches care in a detailed, individualized way. The current site positions Dr. Shweta Goyal as a BHMS Gold Medalist from Panjab University with an MD in Homeopathy, PG training through IACH Greece, more than 15 years of practice, clinics in Zirakpur and Budhlada, and online consultations worldwide. That credibility matters because visitors on a premium 2026-style healthcare site look for reassurance before they read depth. They want to know who they are trusting, how carefully the consultation is done, and whether the page respects the complexity of their concern. The copy should therefore combine warmth with structure: plain language, refined layout, and strong hierarchy rather than exaggerated claims.</w:t>
      </w:r>
    </w:p>
    <w:p>
      <w:pPr>
        <w:spacing w:before="0" w:after="48" w:line="280" w:lineRule="auto"/>
      </w:pPr>
      <w:r>
        <w:rPr>
          <w:rFonts w:ascii="Aptos" w:hAnsi="Aptos" w:eastAsia="Aptos"/>
          <w:b w:val="0"/>
          <w:i w:val="0"/>
          <w:color w:val="202C26"/>
          <w:sz w:val="21"/>
        </w:rPr>
        <w:t>For women's health, the body copy should outline the kinds of patterns patients commonly notice: Irregular, delayed, or absent periods; Painful or heavy menstruation; Acne, hair fall, weight fluctuation, or cycle-linked mood shifts; White discharge or recurrent discomfort; Questions around fertility, preconception health, or hormonal balance. These symptom examples are not meant to diagnose the visitor on the page; they are meant to help the visitor feel recognized. The tone should say, in effect, “You are not overreacting, and you do not have to compress your story into one symptom line.” In a modern service page, that emotional recognition is part of good UX. It reduces bounce, increases trust, and sets up the consultation as a thoughtful process rather than a transaction. The page should also make room for variation. Some users will have new symptoms, some long-standing patterns, and some will already be carrying reports, medicines, and previous advice from other practitioners.</w:t>
      </w:r>
    </w:p>
    <w:p>
      <w:pPr>
        <w:spacing w:before="0" w:after="48" w:line="280" w:lineRule="auto"/>
      </w:pPr>
      <w:r>
        <w:rPr>
          <w:rFonts w:ascii="Aptos" w:hAnsi="Aptos" w:eastAsia="Aptos"/>
          <w:b w:val="0"/>
          <w:i w:val="0"/>
          <w:color w:val="202C26"/>
          <w:sz w:val="21"/>
        </w:rPr>
        <w:t>The consultation approach section should be written with clear boundaries. It can say that the clinic offers homeopathic care as a personalized and complementary form of support, rooted in detailed case-taking and follow-up, while also making it clear that urgent medical problems, specialist care, or ongoing prescribed treatment should not be ignored. This matters even more in 2026 design systems, because high-end health websites are now judged not only by visual polish but by whether the page sounds intelligent and responsible. Instead of aggressive promise language, the copy should talk about pattern recognition, medical history, timelines, triggers, sleep, stress, lifestyle, prior treatment response, and the patient’s own goals. That framing feels more premium than hype.</w:t>
      </w:r>
    </w:p>
    <w:p>
      <w:pPr>
        <w:spacing w:before="0" w:after="48" w:line="280" w:lineRule="auto"/>
      </w:pPr>
      <w:r>
        <w:rPr>
          <w:rFonts w:ascii="Aptos" w:hAnsi="Aptos" w:eastAsia="Aptos"/>
          <w:b w:val="0"/>
          <w:i w:val="0"/>
          <w:color w:val="202C26"/>
          <w:sz w:val="21"/>
        </w:rPr>
        <w:t>A strong page for women's health should also explain what the first consultation may cover. It should mention onset of symptoms, triggers, past investigations, current medicines, lifestyle rhythm, sleep, appetite, emotional load, and what changes the patient has already noticed over time. This section should reduce anxiety about the appointment itself. Many people delay booking because they assume they need the “perfect” explanation before they come. The copy should gently remove that burden. It should say that the role of the consultation is to listen carefully, review the story in context, and build a plan that makes sense for the individual rather than forcing them into a generic category.</w:t>
      </w:r>
    </w:p>
    <w:p>
      <w:pPr>
        <w:spacing w:before="0" w:after="48" w:line="280" w:lineRule="auto"/>
      </w:pPr>
      <w:r>
        <w:rPr>
          <w:rFonts w:ascii="Aptos" w:hAnsi="Aptos" w:eastAsia="Aptos"/>
          <w:b w:val="0"/>
          <w:i w:val="0"/>
          <w:color w:val="202C26"/>
          <w:sz w:val="21"/>
        </w:rPr>
        <w:t>One section should focus on everyday quality of life. Good healthcare copy is not only about named conditions; it is also about mornings, routines, relationships, confidence, work, study, and the small decisions symptoms begin to control. For a premium, ultra-modern page, this section should feel vivid without becoming dramatic. It can speak about comfort, predictability, confidence, and the relief that comes when a person finally feels heard. It can also include supportive routine advice in broad terms: bring previous reports, note symptom triggers, track timing, do not stop prescribed medicines abruptly, and seek immediate medical help when warning signs appear.</w:t>
      </w:r>
    </w:p>
    <w:p>
      <w:pPr>
        <w:spacing w:before="0" w:after="48" w:line="280" w:lineRule="auto"/>
      </w:pPr>
      <w:r>
        <w:rPr>
          <w:rFonts w:ascii="Aptos" w:hAnsi="Aptos" w:eastAsia="Aptos"/>
          <w:b w:val="0"/>
          <w:i w:val="0"/>
          <w:color w:val="202C26"/>
          <w:sz w:val="21"/>
        </w:rPr>
        <w:t>Finally, the page should include a visible safety section instead of hiding important information deep in the copy. For this service, that means clearly naming situations that need prompt medical review, such as very heavy bleeding causing dizziness or faintness; sudden severe pelvic pain; possible pregnancy with pain or bleeding; high-risk fertility or endocrine concerns that need gynecology review. This is not just ethically correct; it also improves trust. Users can tell when a clinic is confident enough to set good boundaries. Ending the page with a calm CTA is better than ending with pressure. The visitor should feel invited into a careful conversation, not pushed into a decision. The closing tone should be steady: if this concern has been disrupting your life, a detailed consultation can help you understand the pattern more clearly and decide the next step with more confidence.</w:t>
      </w:r>
    </w:p>
    <w:p>
      <w:pPr>
        <w:spacing w:before="0" w:after="50" w:line="283" w:lineRule="auto"/>
      </w:pPr>
      <w:r>
        <w:rPr>
          <w:rFonts w:ascii="Aptos" w:hAnsi="Aptos" w:eastAsia="Aptos"/>
          <w:b/>
          <w:i w:val="0"/>
          <w:color w:val="1C4C3B"/>
          <w:sz w:val="27"/>
        </w:rPr>
        <w:t>FAQ copy</w:t>
      </w:r>
    </w:p>
    <w:p>
      <w:pPr>
        <w:spacing w:before="0" w:after="12" w:line="283" w:lineRule="auto"/>
      </w:pPr>
      <w:r>
        <w:rPr>
          <w:rFonts w:ascii="Aptos" w:hAnsi="Aptos" w:eastAsia="Aptos"/>
          <w:b/>
          <w:i w:val="0"/>
          <w:color w:val="202C26"/>
          <w:sz w:val="21"/>
        </w:rPr>
        <w:t>Should the page mention fertility carefully?</w:t>
      </w:r>
    </w:p>
    <w:p>
      <w:pPr>
        <w:spacing w:before="0" w:after="36" w:line="276" w:lineRule="auto"/>
      </w:pPr>
      <w:r>
        <w:rPr>
          <w:rFonts w:ascii="Aptos" w:hAnsi="Aptos" w:eastAsia="Aptos"/>
          <w:b w:val="0"/>
          <w:i w:val="0"/>
          <w:color w:val="202C26"/>
          <w:sz w:val="20"/>
        </w:rPr>
        <w:t>Yes. It should avoid guarantees and instead emphasize evaluation, cycle understanding, and collaborative care where gynecology input is needed.</w:t>
      </w:r>
    </w:p>
    <w:p>
      <w:pPr>
        <w:spacing w:before="0" w:after="12" w:line="283" w:lineRule="auto"/>
      </w:pPr>
      <w:r>
        <w:rPr>
          <w:rFonts w:ascii="Aptos" w:hAnsi="Aptos" w:eastAsia="Aptos"/>
          <w:b/>
          <w:i w:val="0"/>
          <w:color w:val="202C26"/>
          <w:sz w:val="21"/>
        </w:rPr>
        <w:t>Can this page be elegant without feeling luxury-beauty?</w:t>
      </w:r>
    </w:p>
    <w:p>
      <w:pPr>
        <w:spacing w:before="0" w:after="36" w:line="276" w:lineRule="auto"/>
      </w:pPr>
      <w:r>
        <w:rPr>
          <w:rFonts w:ascii="Aptos" w:hAnsi="Aptos" w:eastAsia="Aptos"/>
          <w:b w:val="0"/>
          <w:i w:val="0"/>
          <w:color w:val="202C26"/>
          <w:sz w:val="20"/>
        </w:rPr>
        <w:t>Yes. It should feel warm, premium, and health-oriented, not cosmetic.</w:t>
      </w:r>
    </w:p>
    <w:p>
      <w:pPr>
        <w:spacing w:before="0" w:after="12" w:line="283" w:lineRule="auto"/>
      </w:pPr>
      <w:r>
        <w:rPr>
          <w:rFonts w:ascii="Aptos" w:hAnsi="Aptos" w:eastAsia="Aptos"/>
          <w:b/>
          <w:i w:val="0"/>
          <w:color w:val="202C26"/>
          <w:sz w:val="21"/>
        </w:rPr>
        <w:t>What content blocks matter most?</w:t>
      </w:r>
    </w:p>
    <w:p>
      <w:pPr>
        <w:spacing w:before="0" w:after="36" w:line="276" w:lineRule="auto"/>
      </w:pPr>
      <w:r>
        <w:rPr>
          <w:rFonts w:ascii="Aptos" w:hAnsi="Aptos" w:eastAsia="Aptos"/>
          <w:b w:val="0"/>
          <w:i w:val="0"/>
          <w:color w:val="202C26"/>
          <w:sz w:val="20"/>
        </w:rPr>
        <w:t>Cycle pattern explainer, condition clusters, consultation expectations, and a strong 'when to see a gynecologist urgently' block.</w:t>
      </w:r>
    </w:p>
    <w:p>
      <w:pPr>
        <w:spacing w:before="0" w:after="12" w:line="283" w:lineRule="auto"/>
      </w:pPr>
      <w:r>
        <w:rPr>
          <w:rFonts w:ascii="Aptos" w:hAnsi="Aptos" w:eastAsia="Aptos"/>
          <w:b/>
          <w:i w:val="0"/>
          <w:color w:val="202C26"/>
          <w:sz w:val="21"/>
        </w:rPr>
        <w:t>What CTA suits this page?</w:t>
      </w:r>
    </w:p>
    <w:p>
      <w:pPr>
        <w:spacing w:before="0" w:after="36" w:line="276" w:lineRule="auto"/>
      </w:pPr>
      <w:r>
        <w:rPr>
          <w:rFonts w:ascii="Aptos" w:hAnsi="Aptos" w:eastAsia="Aptos"/>
          <w:b w:val="0"/>
          <w:i w:val="0"/>
          <w:color w:val="202C26"/>
          <w:sz w:val="20"/>
        </w:rPr>
        <w:t>'Book a confidential women’s-health consultation' is strong and reassuring.</w:t>
      </w:r>
    </w:p>
    <w:p/>
    <w:tbl>
      <w:tblPr>
        <w:tblW w:type="auto" w:w="0"/>
        <w:jc w:val="center"/>
        <w:tblLayout w:type="fixed"/>
        <w:tblLook w:firstColumn="1" w:firstRow="1" w:lastColumn="0" w:lastRow="0" w:noHBand="0" w:noVBand="1" w:val="04A0"/>
      </w:tblPr>
      <w:tblGrid>
        <w:gridCol w:w="10166"/>
      </w:tblGrid>
      <w:tr>
        <w:tc>
          <w:tcPr>
            <w:tcW w:type="dxa" w:w="9792"/>
            <w:shd w:fill="F3F7F5"/>
            <w:tcMar>
              <w:top w:w="140" w:type="dxa"/>
              <w:start w:w="160" w:type="dxa"/>
              <w:bottom w:w="140" w:type="dxa"/>
              <w:end w:w="160" w:type="dxa"/>
            </w:tcMar>
          </w:tcPr>
          <w:p>
            <w:pPr>
              <w:spacing w:before="0" w:after="0" w:line="264" w:lineRule="auto"/>
            </w:pPr>
            <w:r>
              <w:rPr>
                <w:rFonts w:ascii="Aptos" w:hAnsi="Aptos" w:eastAsia="Aptos"/>
                <w:b w:val="0"/>
                <w:i w:val="0"/>
                <w:color w:val="5C6661"/>
                <w:sz w:val="19"/>
              </w:rPr>
              <w:t>Editorial note: keep the live website medically responsible. Avoid cure claims, avoid urging patients to stop prescribed medicines, and keep urgent-care guidance visible.</w:t>
            </w:r>
          </w:p>
        </w:tc>
      </w:tr>
    </w:tbl>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before="0" w:after="0" w:line="240" w:lineRule="auto"/>
    </w:pPr>
    <w:r>
      <w:rPr>
        <w:rFonts w:ascii="Aptos" w:hAnsi="Aptos" w:eastAsia="Aptos"/>
        <w:b w:val="0"/>
        <w:i w:val="0"/>
        <w:color w:val="5C6661"/>
        <w:sz w:val="16"/>
      </w:rPr>
      <w:t>Prepared for the ultra-modern Shweta website content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r>
      <w:rPr>
        <w:rFonts w:ascii="Aptos" w:hAnsi="Aptos" w:eastAsia="Aptos"/>
        <w:b w:val="0"/>
        <w:i w:val="0"/>
        <w:color w:val="5C6661"/>
        <w:sz w:val="17"/>
      </w:rPr>
      <w:t>Women's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