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Diabetes Mellitus</w:t>
      </w:r>
    </w:p>
    <w:p>
      <w:pPr>
        <w:spacing w:before="0" w:after="110" w:line="278" w:lineRule="auto"/>
      </w:pPr>
      <w:r>
        <w:rPr>
          <w:rFonts w:ascii="Aptos" w:hAnsi="Aptos" w:eastAsia="Aptos"/>
          <w:b w:val="0"/>
          <w:i w:val="0"/>
          <w:color w:val="5C6661"/>
          <w:sz w:val="22"/>
        </w:rPr>
        <w:t>Strategic content for a modern complementary-care page focused on blood sugar awareness, lifestyle structure, risk reduction, and coordinated long-term care.</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/services/diabetes-mellitus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mainly to adults with type 2 diabetes or prediabetes concerns, and to families looking for a calm, long-term care page that does not sensationalize glucose management.</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diabetes mellitus.</w:t>
        <w:br/>
        <w:t xml:space="preserve">Subheadline: A premium consultation page for people seeking careful listening, individualized case review, and a calmer path through diabetes mellitus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Data-light glucose-pattern hero with subtle motion graph</w:t>
      </w:r>
    </w:p>
    <w:p>
      <w:pPr>
        <w:pStyle w:val="ListBullet"/>
        <w:spacing w:before="0" w:after="20" w:line="273" w:lineRule="auto"/>
      </w:pPr>
      <w:r>
        <w:rPr>
          <w:rFonts w:ascii="Aptos" w:hAnsi="Aptos" w:eastAsia="Aptos"/>
          <w:b w:val="0"/>
          <w:i w:val="0"/>
          <w:color w:val="202C26"/>
          <w:sz w:val="20"/>
        </w:rPr>
        <w:t>Routine-builder cards for food, sleep, stress, movement, medicines</w:t>
      </w:r>
    </w:p>
    <w:p>
      <w:pPr>
        <w:pStyle w:val="ListBullet"/>
        <w:spacing w:before="0" w:after="20" w:line="273" w:lineRule="auto"/>
      </w:pPr>
      <w:r>
        <w:rPr>
          <w:rFonts w:ascii="Aptos" w:hAnsi="Aptos" w:eastAsia="Aptos"/>
          <w:b w:val="0"/>
          <w:i w:val="0"/>
          <w:color w:val="202C26"/>
          <w:sz w:val="20"/>
        </w:rPr>
        <w:t>Complication-awareness icon row</w:t>
      </w:r>
    </w:p>
    <w:p>
      <w:pPr>
        <w:pStyle w:val="ListBullet"/>
        <w:spacing w:before="0" w:after="20" w:line="273" w:lineRule="auto"/>
      </w:pPr>
      <w:r>
        <w:rPr>
          <w:rFonts w:ascii="Aptos" w:hAnsi="Aptos" w:eastAsia="Aptos"/>
          <w:b w:val="0"/>
          <w:i w:val="0"/>
          <w:color w:val="202C26"/>
          <w:sz w:val="20"/>
        </w:rPr>
        <w:t>Sticky 'Bring your reports' block</w:t>
      </w:r>
    </w:p>
    <w:p>
      <w:pPr>
        <w:pStyle w:val="ListBullet"/>
        <w:spacing w:before="0" w:after="20" w:line="273" w:lineRule="auto"/>
      </w:pPr>
      <w:r>
        <w:rPr>
          <w:rFonts w:ascii="Aptos" w:hAnsi="Aptos" w:eastAsia="Aptos"/>
          <w:b w:val="0"/>
          <w:i w:val="0"/>
          <w:color w:val="202C26"/>
          <w:sz w:val="20"/>
        </w:rPr>
        <w:t>Progress dashboard mock for labs, symptoms, energy, recovery</w:t>
      </w:r>
    </w:p>
    <w:p>
      <w:pPr>
        <w:pStyle w:val="ListBullet"/>
        <w:spacing w:before="0" w:after="20" w:line="273" w:lineRule="auto"/>
      </w:pPr>
      <w:r>
        <w:rPr>
          <w:rFonts w:ascii="Aptos" w:hAnsi="Aptos" w:eastAsia="Aptos"/>
          <w:b w:val="0"/>
          <w:i w:val="0"/>
          <w:color w:val="202C26"/>
          <w:sz w:val="20"/>
        </w:rPr>
        <w:t>Doctor-coordination CTA panel</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diabetes mellitus because they want a generic treatment page. They search because something in daily life has been disrupted. Sometimes it is a symptom they can see, such as High blood sugar or prediabetes concern, Thirst, urination, fatigue, or slow recovery, Cravings, weight changes, or fluctuating energy.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diabetes mellitus, the body copy should outline the kinds of patterns patients commonly notice: High blood sugar or prediabetes concern; Thirst, urination, fatigue, or slow recovery; Cravings, weight changes, or fluctuating energy; Sleep disturbance or stress affecting glucose control; Concern about long-term complications and daily discipline.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diabetes mellitus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very high sugars with vomiting or confusion; chest pain, stroke signs, severe dehydration, or breathlessness; infected wounds, severe foot problems, or sudden visual changes; hypoglycemia symptoms in anyone on diabetes medicines or insulin.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Should this page promise sugar reduction?</w:t>
      </w:r>
    </w:p>
    <w:p>
      <w:pPr>
        <w:spacing w:before="0" w:after="36" w:line="276" w:lineRule="auto"/>
      </w:pPr>
      <w:r>
        <w:rPr>
          <w:rFonts w:ascii="Aptos" w:hAnsi="Aptos" w:eastAsia="Aptos"/>
          <w:b w:val="0"/>
          <w:i w:val="0"/>
          <w:color w:val="202C26"/>
          <w:sz w:val="20"/>
        </w:rPr>
        <w:t>No. It should emphasize that glucose monitoring, physician follow-up, medicines where prescribed, nutrition, activity, and lab review remain central.</w:t>
      </w:r>
    </w:p>
    <w:p>
      <w:pPr>
        <w:spacing w:before="0" w:after="12" w:line="283" w:lineRule="auto"/>
      </w:pPr>
      <w:r>
        <w:rPr>
          <w:rFonts w:ascii="Aptos" w:hAnsi="Aptos" w:eastAsia="Aptos"/>
          <w:b/>
          <w:i w:val="0"/>
          <w:color w:val="202C26"/>
          <w:sz w:val="21"/>
        </w:rPr>
        <w:t>What can the page responsibly say?</w:t>
      </w:r>
    </w:p>
    <w:p>
      <w:pPr>
        <w:spacing w:before="0" w:after="36" w:line="276" w:lineRule="auto"/>
      </w:pPr>
      <w:r>
        <w:rPr>
          <w:rFonts w:ascii="Aptos" w:hAnsi="Aptos" w:eastAsia="Aptos"/>
          <w:b w:val="0"/>
          <w:i w:val="0"/>
          <w:color w:val="202C26"/>
          <w:sz w:val="20"/>
        </w:rPr>
        <w:t>It can say the clinic offers individualized complementary support focused on routine, symptom understanding, and whole-person care.</w:t>
      </w:r>
    </w:p>
    <w:p>
      <w:pPr>
        <w:spacing w:before="0" w:after="12" w:line="283" w:lineRule="auto"/>
      </w:pPr>
      <w:r>
        <w:rPr>
          <w:rFonts w:ascii="Aptos" w:hAnsi="Aptos" w:eastAsia="Aptos"/>
          <w:b/>
          <w:i w:val="0"/>
          <w:color w:val="202C26"/>
          <w:sz w:val="21"/>
        </w:rPr>
        <w:t>Is type 1 diabetes included?</w:t>
      </w:r>
    </w:p>
    <w:p>
      <w:pPr>
        <w:spacing w:before="0" w:after="36" w:line="276" w:lineRule="auto"/>
      </w:pPr>
      <w:r>
        <w:rPr>
          <w:rFonts w:ascii="Aptos" w:hAnsi="Aptos" w:eastAsia="Aptos"/>
          <w:b w:val="0"/>
          <w:i w:val="0"/>
          <w:color w:val="202C26"/>
          <w:sz w:val="20"/>
        </w:rPr>
        <w:t>The page should primarily address type 2 and prediabetes. If type 1 is mentioned, it should clearly state that specialist-led medical care is essential.</w:t>
      </w:r>
    </w:p>
    <w:p>
      <w:pPr>
        <w:spacing w:before="0" w:after="12" w:line="283" w:lineRule="auto"/>
      </w:pPr>
      <w:r>
        <w:rPr>
          <w:rFonts w:ascii="Aptos" w:hAnsi="Aptos" w:eastAsia="Aptos"/>
          <w:b/>
          <w:i w:val="0"/>
          <w:color w:val="202C26"/>
          <w:sz w:val="21"/>
        </w:rPr>
        <w:t>What CTA fits?</w:t>
      </w:r>
    </w:p>
    <w:p>
      <w:pPr>
        <w:spacing w:before="0" w:after="36" w:line="276" w:lineRule="auto"/>
      </w:pPr>
      <w:r>
        <w:rPr>
          <w:rFonts w:ascii="Aptos" w:hAnsi="Aptos" w:eastAsia="Aptos"/>
          <w:b w:val="0"/>
          <w:i w:val="0"/>
          <w:color w:val="202C26"/>
          <w:sz w:val="20"/>
        </w:rPr>
        <w:t>'Book a diabetes support consultation' feels measured and appropriate.</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Diabetes Mellitus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