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Gastrointestinal Disorders</w:t>
      </w:r>
    </w:p>
    <w:p>
      <w:pPr>
        <w:spacing w:before="0" w:after="110" w:line="278" w:lineRule="auto"/>
      </w:pPr>
      <w:r>
        <w:rPr>
          <w:rFonts w:ascii="Aptos" w:hAnsi="Aptos" w:eastAsia="Aptos"/>
          <w:b w:val="0"/>
          <w:i w:val="0"/>
          <w:color w:val="5C6661"/>
          <w:sz w:val="22"/>
        </w:rPr>
        <w:t>An in-depth content package for acidity, IBS, bloating, bowel irregularity, gut sensitivity, and digestive-pattern mapping.</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/services/gastrointestinal-disorders</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help adults identify their digestive patterns quickly, whether they are dealing with bloating, acidity, reflux, constipation, loose motions, IBS patterns, or gut symptoms linked to stress.</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gastrointestinal disorders.</w:t>
        <w:br/>
        <w:t xml:space="preserve">Subheadline: A premium consultation page for people seeking careful listening, individualized case review, and a calmer path through gastrointestinal disorders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Interactive digestive map silhouette</w:t>
      </w:r>
    </w:p>
    <w:p>
      <w:pPr>
        <w:pStyle w:val="ListBullet"/>
        <w:spacing w:before="0" w:after="20" w:line="273" w:lineRule="auto"/>
      </w:pPr>
      <w:r>
        <w:rPr>
          <w:rFonts w:ascii="Aptos" w:hAnsi="Aptos" w:eastAsia="Aptos"/>
          <w:b w:val="0"/>
          <w:i w:val="0"/>
          <w:color w:val="202C26"/>
          <w:sz w:val="20"/>
        </w:rPr>
        <w:t>Symptom-sort chips for upper GI, bowel pattern, inflammation concern, food triggers</w:t>
      </w:r>
    </w:p>
    <w:p>
      <w:pPr>
        <w:pStyle w:val="ListBullet"/>
        <w:spacing w:before="0" w:after="20" w:line="273" w:lineRule="auto"/>
      </w:pPr>
      <w:r>
        <w:rPr>
          <w:rFonts w:ascii="Aptos" w:hAnsi="Aptos" w:eastAsia="Aptos"/>
          <w:b w:val="0"/>
          <w:i w:val="0"/>
          <w:color w:val="202C26"/>
          <w:sz w:val="20"/>
        </w:rPr>
        <w:t>Food diary mock widget</w:t>
      </w:r>
    </w:p>
    <w:p>
      <w:pPr>
        <w:pStyle w:val="ListBullet"/>
        <w:spacing w:before="0" w:after="20" w:line="273" w:lineRule="auto"/>
      </w:pPr>
      <w:r>
        <w:rPr>
          <w:rFonts w:ascii="Aptos" w:hAnsi="Aptos" w:eastAsia="Aptos"/>
          <w:b w:val="0"/>
          <w:i w:val="0"/>
          <w:color w:val="202C26"/>
          <w:sz w:val="20"/>
        </w:rPr>
        <w:t>Pattern timeline for meals, stress, sleep, bowel changes</w:t>
      </w:r>
    </w:p>
    <w:p>
      <w:pPr>
        <w:pStyle w:val="ListBullet"/>
        <w:spacing w:before="0" w:after="20" w:line="273" w:lineRule="auto"/>
      </w:pPr>
      <w:r>
        <w:rPr>
          <w:rFonts w:ascii="Aptos" w:hAnsi="Aptos" w:eastAsia="Aptos"/>
          <w:b w:val="0"/>
          <w:i w:val="0"/>
          <w:color w:val="202C26"/>
          <w:sz w:val="20"/>
        </w:rPr>
        <w:t>Medical-red-flags drawer</w:t>
      </w:r>
    </w:p>
    <w:p>
      <w:pPr>
        <w:pStyle w:val="ListBullet"/>
        <w:spacing w:before="0" w:after="20" w:line="273" w:lineRule="auto"/>
      </w:pPr>
      <w:r>
        <w:rPr>
          <w:rFonts w:ascii="Aptos" w:hAnsi="Aptos" w:eastAsia="Aptos"/>
          <w:b w:val="0"/>
          <w:i w:val="0"/>
          <w:color w:val="202C26"/>
          <w:sz w:val="20"/>
        </w:rPr>
        <w:t>Clean FAQ cards with expandable microcopy</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gastrointestinal disorders because they want a generic treatment page. They search because something in daily life has been disrupted. Sometimes it is a symptom they can see, such as Acidity, reflux, sour belching, or upper abdominal burning, Bloating, gas, heaviness, or food intolerance, Constipation, loose stools, or alternating bowel patterns.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gastrointestinal disorders, the body copy should outline the kinds of patterns patients commonly notice: Acidity, reflux, sour belching, or upper abdominal burning; Bloating, gas, heaviness, or food intolerance; Constipation, loose stools, or alternating bowel patterns; Stress-linked gut symptoms; Concern about long-term inflammation or bowel sensitivity.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gastrointestinal disorders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blood in stool, black stool, or unexplained weight loss; persistent vomiting or dehydration; severe abdominal pain or rigid abdomen; difficulty swallowing or progressive loss of appetite.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Should IBS and IBD be discussed together?</w:t>
      </w:r>
    </w:p>
    <w:p>
      <w:pPr>
        <w:spacing w:before="0" w:after="36" w:line="276" w:lineRule="auto"/>
      </w:pPr>
      <w:r>
        <w:rPr>
          <w:rFonts w:ascii="Aptos" w:hAnsi="Aptos" w:eastAsia="Aptos"/>
          <w:b w:val="0"/>
          <w:i w:val="0"/>
          <w:color w:val="202C26"/>
          <w:sz w:val="20"/>
        </w:rPr>
        <w:t>They can both appear on the page, but the copy should clearly separate functional bowel patterns from inflammatory conditions that need gastroenterology oversight.</w:t>
      </w:r>
    </w:p>
    <w:p>
      <w:pPr>
        <w:spacing w:before="0" w:after="12" w:line="283" w:lineRule="auto"/>
      </w:pPr>
      <w:r>
        <w:rPr>
          <w:rFonts w:ascii="Aptos" w:hAnsi="Aptos" w:eastAsia="Aptos"/>
          <w:b/>
          <w:i w:val="0"/>
          <w:color w:val="202C26"/>
          <w:sz w:val="21"/>
        </w:rPr>
        <w:t>Can the page mention food journaling?</w:t>
      </w:r>
    </w:p>
    <w:p>
      <w:pPr>
        <w:spacing w:before="0" w:after="36" w:line="276" w:lineRule="auto"/>
      </w:pPr>
      <w:r>
        <w:rPr>
          <w:rFonts w:ascii="Aptos" w:hAnsi="Aptos" w:eastAsia="Aptos"/>
          <w:b w:val="0"/>
          <w:i w:val="0"/>
          <w:color w:val="202C26"/>
          <w:sz w:val="20"/>
        </w:rPr>
        <w:t>Yes. That makes the page feel practical and modern.</w:t>
      </w:r>
    </w:p>
    <w:p>
      <w:pPr>
        <w:spacing w:before="0" w:after="12" w:line="283" w:lineRule="auto"/>
      </w:pPr>
      <w:r>
        <w:rPr>
          <w:rFonts w:ascii="Aptos" w:hAnsi="Aptos" w:eastAsia="Aptos"/>
          <w:b/>
          <w:i w:val="0"/>
          <w:color w:val="202C26"/>
          <w:sz w:val="21"/>
        </w:rPr>
        <w:t>How should the page feel?</w:t>
      </w:r>
    </w:p>
    <w:p>
      <w:pPr>
        <w:spacing w:before="0" w:after="36" w:line="276" w:lineRule="auto"/>
      </w:pPr>
      <w:r>
        <w:rPr>
          <w:rFonts w:ascii="Aptos" w:hAnsi="Aptos" w:eastAsia="Aptos"/>
          <w:b w:val="0"/>
          <w:i w:val="0"/>
          <w:color w:val="202C26"/>
          <w:sz w:val="20"/>
        </w:rPr>
        <w:t>Structured, calm, and helpful — almost like a clean digestive dashboard rather than a wall of text.</w:t>
      </w:r>
    </w:p>
    <w:p>
      <w:pPr>
        <w:spacing w:before="0" w:after="12" w:line="283" w:lineRule="auto"/>
      </w:pPr>
      <w:r>
        <w:rPr>
          <w:rFonts w:ascii="Aptos" w:hAnsi="Aptos" w:eastAsia="Aptos"/>
          <w:b/>
          <w:i w:val="0"/>
          <w:color w:val="202C26"/>
          <w:sz w:val="21"/>
        </w:rPr>
        <w:t>What CTA works?</w:t>
      </w:r>
    </w:p>
    <w:p>
      <w:pPr>
        <w:spacing w:before="0" w:after="36" w:line="276" w:lineRule="auto"/>
      </w:pPr>
      <w:r>
        <w:rPr>
          <w:rFonts w:ascii="Aptos" w:hAnsi="Aptos" w:eastAsia="Aptos"/>
          <w:b w:val="0"/>
          <w:i w:val="0"/>
          <w:color w:val="202C26"/>
          <w:sz w:val="20"/>
        </w:rPr>
        <w:t>'Book a digestive-pattern consultation' feels more specific than a generic appointment button.</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Gastrointestinal Disorders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