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49643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创意续命实验台_需求文档_V4</w:t>
      </w:r>
    </w:p>
    <w:p w14:paraId="2BC761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原型地址</w:t>
      </w:r>
      <w:r>
        <w:rPr>
          <w:rFonts w:ascii="Arial" w:hAnsi="Arial" w:eastAsia="等线" w:cs="Arial"/>
          <w:sz w:val="22"/>
        </w:rPr>
        <w:t>：https://vercel-site-sigma-teal.vercel.app/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产品方向</w:t>
      </w:r>
      <w:r>
        <w:rPr>
          <w:rFonts w:ascii="Arial" w:hAnsi="Arial" w:eastAsia="等线" w:cs="Arial"/>
          <w:sz w:val="22"/>
        </w:rPr>
        <w:t>：信息流广告创意疲劳诊断与 AI 续命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案例行业</w:t>
      </w:r>
      <w:r>
        <w:rPr>
          <w:rFonts w:ascii="Arial" w:hAnsi="Arial" w:eastAsia="等线" w:cs="Arial"/>
          <w:sz w:val="22"/>
        </w:rPr>
        <w:t>：美妆护肤（小红书图文信息流）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目标用户</w:t>
      </w:r>
      <w:r>
        <w:rPr>
          <w:rFonts w:ascii="Arial" w:hAnsi="Arial" w:eastAsia="等线" w:cs="Arial"/>
          <w:sz w:val="22"/>
        </w:rPr>
        <w:t>：代理公司 / 品牌投放团队中的信息流优化师</w:t>
      </w:r>
    </w:p>
    <w:p w14:paraId="56814D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645BC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摘要</w:t>
      </w:r>
      <w:bookmarkEnd w:id="0"/>
    </w:p>
    <w:p w14:paraId="69B76C0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产品一句话</w:t>
      </w:r>
      <w:r>
        <w:rPr>
          <w:rFonts w:ascii="Arial" w:hAnsi="Arial" w:eastAsia="等线" w:cs="Arial"/>
          <w:sz w:val="22"/>
        </w:rPr>
        <w:t>：面向信息流广告创意疲劳的 AI 诊断、续命和复盘工作台。</w:t>
      </w:r>
    </w:p>
    <w:p w14:paraId="19DDA8A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核心痛点</w:t>
      </w:r>
      <w:r>
        <w:rPr>
          <w:rFonts w:ascii="Arial" w:hAnsi="Arial" w:eastAsia="等线" w:cs="Arial"/>
          <w:sz w:val="22"/>
        </w:rPr>
        <w:t>：素材疲劳识别慢、归因不清、续命靠经验、实验不规范、合规风险、经验难沉淀。</w:t>
      </w:r>
    </w:p>
    <w:p w14:paraId="480309C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：三阶段工作流——疲劳诊断中心 → 智能续命工作台 → 复盘看板，实现从发现疲劳到知识沉淀的闭环。</w:t>
      </w:r>
    </w:p>
    <w:p w14:paraId="2D968C3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关键创新</w:t>
      </w:r>
      <w:r>
        <w:rPr>
          <w:rFonts w:ascii="Arial" w:hAnsi="Arial" w:eastAsia="等线" w:cs="Arial"/>
          <w:sz w:val="22"/>
        </w:rPr>
        <w:t>：单变量实验原则（一轮只改一个主变量）、AI 归因分析、合规预审前置、素材级实验状态管理。</w:t>
      </w:r>
    </w:p>
    <w:p w14:paraId="7460B73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数据支撑</w:t>
      </w:r>
      <w:r>
        <w:rPr>
          <w:rFonts w:ascii="Arial" w:hAnsi="Arial" w:eastAsia="等线" w:cs="Arial"/>
          <w:sz w:val="22"/>
        </w:rPr>
        <w:t>：基于 200+ 小红书美妆样本生成 2000 份图文帖，通过互动衰减率量化疲劳，发现钩子、正文、发布时间显著影响疲劳。</w:t>
      </w:r>
    </w:p>
    <w:p w14:paraId="2E0DDB6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商业价值</w:t>
      </w:r>
      <w:r>
        <w:rPr>
          <w:rFonts w:ascii="Arial" w:hAnsi="Arial" w:eastAsia="等线" w:cs="Arial"/>
          <w:sz w:val="22"/>
        </w:rPr>
        <w:t>：降低单条素材迭代成本 60%-80%，将素材制作成本降低一个数量级。</w:t>
      </w:r>
    </w:p>
    <w:p w14:paraId="3DE37AC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团队</w:t>
      </w:r>
      <w:r>
        <w:rPr>
          <w:rFonts w:ascii="Arial" w:hAnsi="Arial" w:eastAsia="等线" w:cs="Arial"/>
          <w:sz w:val="22"/>
        </w:rPr>
        <w:t>：产品经理 李云峰、业务专家 上官鹏、技术专家 赵一涵。</w:t>
      </w:r>
    </w:p>
    <w:p w14:paraId="0A5E897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3692F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一、章节映射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5"/>
        <w:gridCol w:w="4365"/>
      </w:tblGrid>
      <w:tr w14:paraId="2510D2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1D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路演结构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6C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对应文档章节</w:t>
            </w:r>
          </w:p>
        </w:tc>
      </w:tr>
      <w:tr w14:paraId="11850E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66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角色与认知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24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第二章 团队建制与岗位选择</w:t>
            </w:r>
          </w:p>
        </w:tc>
      </w:tr>
      <w:tr w14:paraId="794F9C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08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业务与痛点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97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第三章~第六章</w:t>
            </w:r>
          </w:p>
        </w:tc>
      </w:tr>
      <w:tr w14:paraId="633EA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C2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产品原型设计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35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第七章~第八章</w:t>
            </w:r>
          </w:p>
        </w:tc>
      </w:tr>
      <w:tr w14:paraId="03ACAB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0B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推广与运营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41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第十章</w:t>
            </w:r>
          </w:p>
        </w:tc>
      </w:tr>
      <w:tr w14:paraId="720241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23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总结与答辩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6F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第十一章</w:t>
            </w:r>
          </w:p>
        </w:tc>
      </w:tr>
    </w:tbl>
    <w:p w14:paraId="0038C2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F46805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二、角色与认知：团队建制与岗位选择</w:t>
      </w:r>
      <w:bookmarkEnd w:id="2"/>
    </w:p>
    <w:p w14:paraId="03BEED6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团队角色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1290"/>
        <w:gridCol w:w="5415"/>
      </w:tblGrid>
      <w:tr w14:paraId="0FD567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3F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73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5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4E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职责定位</w:t>
            </w:r>
          </w:p>
        </w:tc>
      </w:tr>
      <w:tr w14:paraId="47E77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0C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产品经理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9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李云峰</w:t>
            </w:r>
          </w:p>
        </w:tc>
        <w:tc>
          <w:tcPr>
            <w:tcW w:w="5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F8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产品定义、需求分析、原型设计、原型实现、AI 能力边界</w:t>
            </w:r>
          </w:p>
        </w:tc>
      </w:tr>
      <w:tr w14:paraId="7BE31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91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业务专家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81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上官鹏</w:t>
            </w:r>
          </w:p>
        </w:tc>
        <w:tc>
          <w:tcPr>
            <w:tcW w:w="5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EA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行业洞察、商业前景分析、推广运营策略</w:t>
            </w:r>
          </w:p>
        </w:tc>
      </w:tr>
      <w:tr w14:paraId="2DEFB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E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技术专家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BE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赵一涵</w:t>
            </w:r>
          </w:p>
        </w:tc>
        <w:tc>
          <w:tcPr>
            <w:tcW w:w="5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49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技术架构、数据逻辑设计、疲劳要素归因</w:t>
            </w:r>
          </w:p>
        </w:tc>
      </w:tr>
    </w:tbl>
    <w:p w14:paraId="6A4C7BF8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4" w:name="heading_4"/>
    </w:p>
    <w:p w14:paraId="67BA57C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2.2 岗位选择初衷</w:t>
      </w:r>
      <w:bookmarkEnd w:id="4"/>
    </w:p>
    <w:p w14:paraId="52D80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我们采用"产品 + 业务 + 技术"三角协作模式，原因如下：</w:t>
      </w:r>
    </w:p>
    <w:p w14:paraId="238C7DE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产品经理</w:t>
      </w:r>
      <w:r>
        <w:rPr>
          <w:rFonts w:ascii="Arial" w:hAnsi="Arial" w:eastAsia="等线" w:cs="Arial"/>
          <w:sz w:val="22"/>
        </w:rPr>
        <w:t>负责将业务洞察转化为可验证的产品假设，确保产品方向不偏离真实痛点。</w:t>
      </w:r>
    </w:p>
    <w:p w14:paraId="19B74B5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业务专家</w:t>
      </w:r>
      <w:r>
        <w:rPr>
          <w:rFonts w:ascii="Arial" w:hAnsi="Arial" w:eastAsia="等线" w:cs="Arial"/>
          <w:sz w:val="22"/>
        </w:rPr>
        <w:t>提供行业深度认知，确保商业前景分析和运营策略有数据支撑，不是空中楼阁。</w:t>
      </w:r>
    </w:p>
    <w:p w14:paraId="4833629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技术专家</w:t>
      </w:r>
      <w:r>
        <w:rPr>
          <w:rFonts w:ascii="Arial" w:hAnsi="Arial" w:eastAsia="等线" w:cs="Arial"/>
          <w:sz w:val="22"/>
        </w:rPr>
        <w:t>负责评估 AI 能力边界，确保产品方案在技术上可落地，避免"画饼"。</w:t>
      </w:r>
    </w:p>
    <w:p w14:paraId="7E3E1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这种建制让团队能在"商业可行性、技术可实现性、用户需求真实性"三个维度上同时把关，适合 AI 产品从 0 到 1 的验证。</w:t>
      </w:r>
    </w:p>
    <w:p w14:paraId="0D87B9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34C14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5" w:name="heading_5"/>
    </w:p>
    <w:p w14:paraId="3C7198B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435D27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三、商业命题与商业前景分析</w:t>
      </w:r>
      <w:bookmarkEnd w:id="5"/>
    </w:p>
    <w:p w14:paraId="7EDD292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 市场机会</w:t>
      </w:r>
      <w:bookmarkEnd w:id="6"/>
    </w:p>
    <w:p w14:paraId="343EC5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市场规模（TAM）</w:t>
      </w:r>
      <w:r>
        <w:rPr>
          <w:rFonts w:ascii="Arial" w:hAnsi="Arial" w:eastAsia="等线" w:cs="Arial"/>
          <w:sz w:val="22"/>
        </w:rPr>
        <w:t>：仅以美妆护肤赛道为例，全球美妆市场规模已超过 3800 亿美元，其中信息流广告（小红书、抖音、TikTok、Instagram）占据了品牌营销预算的"大头"。任何能够提升该赛道投放 ROI 5% 的工具，都具备极高的商业客单价和订阅意愿。</w:t>
      </w:r>
    </w:p>
    <w:p w14:paraId="0C808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切入时机</w:t>
      </w:r>
      <w:r>
        <w:rPr>
          <w:rFonts w:ascii="Arial" w:hAnsi="Arial" w:eastAsia="等线" w:cs="Arial"/>
          <w:sz w:val="22"/>
        </w:rPr>
        <w:t>：在信息流投放进入"素材极度内卷"的当下，AI 营销的重心已从"野蛮批量生成"转向"精准存量优化"。上合切入的正是企业和代理商营销预算中消耗最大、确定性最低的"素材冷启动与迭代"环节。</w:t>
      </w:r>
    </w:p>
    <w:p w14:paraId="2645EC9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 商业价值</w:t>
      </w:r>
      <w:bookmarkEnd w:id="7"/>
    </w:p>
    <w:p w14:paraId="49BCD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结构化降本</w:t>
      </w:r>
      <w:r>
        <w:rPr>
          <w:rFonts w:ascii="Arial" w:hAnsi="Arial" w:eastAsia="等线" w:cs="Arial"/>
          <w:sz w:val="22"/>
        </w:rPr>
        <w:t>：降低单条素材迭代成本 60%-80%。</w:t>
      </w:r>
    </w:p>
    <w:p w14:paraId="7F3FB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重新拍摄一组美妆信息流素材（含模特、场地、妆造、剪辑）成本在数千至数万元不等。而上合通过"局部手术"逻辑，锁定爆款素材的基本盘（如画面主体、产品卖点、调色风格），仅对失效的单变量（如本轮示例中的"入口钩子"）进行 AI 变体生成与替换。用 20% 的微调动作，拿回 80% 的爆款余温，将素材制作成本降低一个数量级。</w:t>
      </w:r>
    </w:p>
    <w:p w14:paraId="010B8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上合在商业上的高明之处</w:t>
      </w:r>
      <w:r>
        <w:rPr>
          <w:rFonts w:ascii="Arial" w:hAnsi="Arial" w:eastAsia="等线" w:cs="Arial"/>
          <w:sz w:val="22"/>
        </w:rPr>
        <w:t>：它不向品牌方兜售"无法验证的虚幻创意"，而是向品牌方售卖"降低获客成本（CPA）、提高爆款留存率（ROI）的科学确定性"。如今红利见顶，每一分钱都要看转化，这就将成为全行业效果广告主无法拒绝的产品。</w:t>
      </w:r>
    </w:p>
    <w:p w14:paraId="0F26ADE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3.3 小红书平台价值</w:t>
      </w:r>
      <w:bookmarkEnd w:id="8"/>
    </w:p>
    <w:p w14:paraId="04BD1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上合选择小红书作为切入点，基于以下深层生态考量：</w:t>
      </w:r>
    </w:p>
    <w:p w14:paraId="7BE0DE9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天然的"种草"与"决策"生态</w:t>
      </w:r>
      <w:r>
        <w:rPr>
          <w:rFonts w:ascii="Arial" w:hAnsi="Arial" w:eastAsia="等线" w:cs="Arial"/>
          <w:sz w:val="22"/>
        </w:rPr>
        <w:t>：小红书用户天然具备"带着购买目的来搜真实体验"的消费心智。与其他娱乐化平台不同，小红书的用户主动检索和深度阅读意愿极高。广告在此处能够做到真正的"润物细无声"（隐性广告模式）。</w:t>
      </w:r>
    </w:p>
    <w:p w14:paraId="2031C62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高净值、高美妆心智的用户画像</w:t>
      </w:r>
      <w:r>
        <w:rPr>
          <w:rFonts w:ascii="Arial" w:hAnsi="Arial" w:eastAsia="等线" w:cs="Arial"/>
          <w:sz w:val="22"/>
        </w:rPr>
        <w:t>：平台聚集了大量一二线城市、具备高消费能力的女性及年轻群体。她们对美妆成分（如玻色因、烟酰胺、视黄醇）的认知度极高。这意味着"卖点表达的微调（如从'修护'细化到'屏障泛红修护'）"能够带来显著的转化波动，这也正是单变量实验台发挥"局部手术"价值的天然土壤。</w:t>
      </w:r>
    </w:p>
    <w:p w14:paraId="4C972F2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独特的"去中心化"与"流量回流"机制</w:t>
      </w:r>
      <w:r>
        <w:rPr>
          <w:rFonts w:ascii="Arial" w:hAnsi="Arial" w:eastAsia="等线" w:cs="Arial"/>
          <w:sz w:val="22"/>
        </w:rPr>
        <w:t>：小红书采用长尾分发逻辑。一个历史爆款素材在付费推广停止后，如果其沉淀的自然互动（点赞、收藏、评论）数据极佳，仍能持续卷入自然流量池。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A465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F0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优化师之所以急需"为爆款续命"，正是因为爆款笔记在小红书上不仅代表广告曝光，更代表了品牌在对应搜索词下的"心智资产"。通过微调让系统误认为"新创意"重新加热，能最大化榨取其长尾长效价值。</w:t>
            </w:r>
          </w:p>
        </w:tc>
      </w:tr>
    </w:tbl>
    <w:p w14:paraId="5FE272B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9" w:name="heading_9"/>
    </w:p>
    <w:p w14:paraId="1180FDB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3.4 聚光平台兼容性</w:t>
      </w:r>
      <w:bookmarkEnd w:id="9"/>
    </w:p>
    <w:p w14:paraId="731BC0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为了在后续迭代中完美闭环，上合需深度兼容小红书官方广告投放平台——聚光平台（Aurora）的核心投放功能与逻辑：</w:t>
      </w:r>
    </w:p>
    <w:p w14:paraId="1819F33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以 SPU（产品）为颗粒度的智能投放</w:t>
      </w:r>
      <w:r>
        <w:rPr>
          <w:rFonts w:ascii="Arial" w:hAnsi="Arial" w:eastAsia="等线" w:cs="Arial"/>
          <w:sz w:val="22"/>
        </w:rPr>
        <w:t>：允许品牌绑定具体的商品（如：GlowLab 焕亮修护精华），系统会基于该 SPU 在全网的种草数据、竞品大盘进行智能化人群扩量。</w:t>
      </w:r>
    </w:p>
    <w:p w14:paraId="7F2F90A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搜索与信息流（双列场）打通</w:t>
      </w:r>
      <w:r>
        <w:rPr>
          <w:rFonts w:ascii="Arial" w:hAnsi="Arial" w:eastAsia="等线" w:cs="Arial"/>
          <w:sz w:val="22"/>
        </w:rPr>
        <w:t>：聚光平台支持将同一条素材同时投放于"发现页（信息流）"和"搜索页（关键词竞价）"。</w:t>
      </w:r>
    </w:p>
    <w:p w14:paraId="599D8C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B9149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四、用户痛点与产品需求分析</w:t>
      </w:r>
      <w:bookmarkEnd w:id="10"/>
    </w:p>
    <w:p w14:paraId="4C09D8D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目标用户</w:t>
      </w:r>
      <w:bookmarkEnd w:id="11"/>
    </w:p>
    <w:p w14:paraId="169AA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代理公司或品牌投放团队中的</w:t>
      </w:r>
      <w:r>
        <w:rPr>
          <w:rFonts w:ascii="Arial" w:hAnsi="Arial" w:eastAsia="等线" w:cs="Arial"/>
          <w:b/>
          <w:sz w:val="22"/>
        </w:rPr>
        <w:t>信息流优化师</w:t>
      </w:r>
      <w:r>
        <w:rPr>
          <w:rFonts w:ascii="Arial" w:hAnsi="Arial" w:eastAsia="等线" w:cs="Arial"/>
          <w:sz w:val="22"/>
        </w:rPr>
        <w:t>。</w:t>
      </w:r>
    </w:p>
    <w:p w14:paraId="2CA267F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2" w:name="heading_12"/>
      <w:r>
        <w:rPr>
          <w:rFonts w:ascii="Arial" w:hAnsi="Arial" w:eastAsia="等线" w:cs="Arial"/>
          <w:b/>
          <w:sz w:val="30"/>
        </w:rPr>
        <w:t>4.2 核心痛点</w:t>
      </w:r>
      <w:bookmarkEnd w:id="12"/>
    </w:p>
    <w:p w14:paraId="5E1D6D13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tbl>
      <w:tblPr>
        <w:tblStyle w:val="2"/>
        <w:tblW w:w="950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4045"/>
        <w:gridCol w:w="3993"/>
      </w:tblGrid>
      <w:tr w14:paraId="66CE15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0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</w:t>
            </w:r>
          </w:p>
        </w:tc>
        <w:tc>
          <w:tcPr>
            <w:tcW w:w="4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E2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具体表现</w:t>
            </w:r>
          </w:p>
        </w:tc>
        <w:tc>
          <w:tcPr>
            <w:tcW w:w="3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CC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上合解决方案</w:t>
            </w:r>
          </w:p>
        </w:tc>
      </w:tr>
      <w:tr w14:paraId="3BAA2C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0C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盲目生产成本高</w:t>
            </w:r>
          </w:p>
        </w:tc>
        <w:tc>
          <w:tcPr>
            <w:tcW w:w="4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31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素材表现下滑时，传统做法是"暴力铺量"，重新拍摄大量新素材，成本高且成功率随机</w:t>
            </w:r>
          </w:p>
        </w:tc>
        <w:tc>
          <w:tcPr>
            <w:tcW w:w="3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E1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局部手术：仅对失效单变量进行 AI 变体生成，用 20% 微调拿回 80% 爆款余温</w:t>
            </w:r>
          </w:p>
        </w:tc>
      </w:tr>
      <w:tr w14:paraId="6F9D8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BF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迭代路径不清晰</w:t>
            </w:r>
          </w:p>
        </w:tc>
        <w:tc>
          <w:tcPr>
            <w:tcW w:w="4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8F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无法判断是"视觉审美疲劳"还是"卖点表达过时"，修改方向全凭感觉</w:t>
            </w:r>
          </w:p>
        </w:tc>
        <w:tc>
          <w:tcPr>
            <w:tcW w:w="3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7D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归因分析：基于规则化指标计算疲劳分，明确推荐主变量</w:t>
            </w:r>
          </w:p>
        </w:tc>
      </w:tr>
      <w:tr w14:paraId="52EAC0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C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实验不规范</w:t>
            </w:r>
          </w:p>
        </w:tc>
        <w:tc>
          <w:tcPr>
            <w:tcW w:w="4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1B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对照组和变体组使用不同判断标准，实验结果不可比</w:t>
            </w:r>
          </w:p>
        </w:tc>
        <w:tc>
          <w:tcPr>
            <w:tcW w:w="3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BF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单变量实验原则：一轮只改一个主变量，统一实验窗口、曝光、人群、平台</w:t>
            </w:r>
          </w:p>
        </w:tc>
      </w:tr>
      <w:tr w14:paraId="25B736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03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合规返工率高</w:t>
            </w:r>
          </w:p>
        </w:tc>
        <w:tc>
          <w:tcPr>
            <w:tcW w:w="4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6C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素材生成后才进入合规审核，大量无效产出</w:t>
            </w:r>
          </w:p>
        </w:tc>
        <w:tc>
          <w:tcPr>
            <w:tcW w:w="3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C5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合规预审前置：生成链路中完成内部合规扫描，风险素材自动改写</w:t>
            </w:r>
          </w:p>
        </w:tc>
      </w:tr>
      <w:tr w14:paraId="102F7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56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经验难沉淀</w:t>
            </w:r>
          </w:p>
        </w:tc>
        <w:tc>
          <w:tcPr>
            <w:tcW w:w="4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30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历史素材和实验经验随人员流动而流失</w:t>
            </w:r>
          </w:p>
        </w:tc>
        <w:tc>
          <w:tcPr>
            <w:tcW w:w="3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A6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知识库沉淀：将实验结果、有效变量、合规规则写入历史素材库</w:t>
            </w:r>
          </w:p>
        </w:tc>
      </w:tr>
    </w:tbl>
    <w:p w14:paraId="3AF0B90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4.3 使用场景</w:t>
      </w:r>
      <w:bookmarkEnd w:id="13"/>
    </w:p>
    <w:p w14:paraId="6D67BB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每一个爆款素材都是昂贵的资产，本产品不解决"从 0 到 1 寻找爆款"的问题，而是专注于"爆款素材由盛转衰"的关键生命周期节点，为爆款续命。</w:t>
      </w:r>
    </w:p>
    <w:p w14:paraId="5A979C8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目标对象</w:t>
      </w:r>
      <w:r>
        <w:rPr>
          <w:rFonts w:ascii="Arial" w:hAnsi="Arial" w:eastAsia="等线" w:cs="Arial"/>
          <w:sz w:val="22"/>
        </w:rPr>
        <w:t>：已验证过的"历史优质素材"（爆款）。这些素材曾有过高 CTR/CVR 表现，但近期数据出现显著下滑。</w:t>
      </w:r>
    </w:p>
    <w:p w14:paraId="23DA293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介入时机</w:t>
      </w:r>
      <w:r>
        <w:rPr>
          <w:rFonts w:ascii="Arial" w:hAnsi="Arial" w:eastAsia="等线" w:cs="Arial"/>
          <w:sz w:val="22"/>
        </w:rPr>
        <w:t>：当素材处于"衰退早期"（如 CTR 相对下滑 30% 以上，或用户评论出现高度重复信号）时，本实验台正式介入。</w:t>
      </w:r>
    </w:p>
    <w:p w14:paraId="2F04E17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核心逻辑</w:t>
      </w:r>
      <w:r>
        <w:rPr>
          <w:rFonts w:ascii="Arial" w:hAnsi="Arial" w:eastAsia="等线" w:cs="Arial"/>
          <w:sz w:val="22"/>
        </w:rPr>
        <w:t>：保住基本盘 → 局部手术 → 价值榨取。</w:t>
      </w:r>
    </w:p>
    <w:p w14:paraId="1DE99BA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4.4 典型场景</w:t>
      </w:r>
      <w:bookmarkEnd w:id="14"/>
    </w:p>
    <w:p w14:paraId="4F97C6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美妆护肤品牌 GlowLab 的一条图文信息流素材 A03"熬夜脸急救"近期表现下滑。优化师需要判断它是否进入创意疲劳期，并生成下一轮更可比较的图文变体，用于投放实验、更有针对性地提升素材的投放效果。</w:t>
      </w:r>
    </w:p>
    <w:p w14:paraId="4AA717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BE9F5B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五、疲劳要素归因分析</w:t>
      </w:r>
      <w:bookmarkEnd w:id="15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943B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A7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本章内容是产品方法论的重要支撑。</w:t>
            </w:r>
          </w:p>
        </w:tc>
      </w:tr>
    </w:tbl>
    <w:p w14:paraId="130949F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 疲劳的定义</w:t>
      </w:r>
      <w:bookmarkEnd w:id="16"/>
    </w:p>
    <w:p w14:paraId="06525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内容疲劳的量化不应该仅仅以帖子的重复量为对比，更应该以</w:t>
      </w:r>
      <w:r>
        <w:rPr>
          <w:rFonts w:ascii="Arial" w:hAnsi="Arial" w:eastAsia="等线" w:cs="Arial"/>
          <w:b/>
          <w:sz w:val="22"/>
        </w:rPr>
        <w:t>"帖子生命周期"</w:t>
      </w:r>
      <w:r>
        <w:rPr>
          <w:rFonts w:ascii="Arial" w:hAnsi="Arial" w:eastAsia="等线" w:cs="Arial"/>
          <w:sz w:val="22"/>
        </w:rPr>
        <w:t>为锚点。单独看 Day1 互动量无法反映疲劳程度——由于平台推流机制不同，一篇高开低走的帖子和一篇稳扎稳打的笔记可能有相似的初始数据，却有完全不同的疲劳曲线。</w:t>
      </w:r>
    </w:p>
    <w:p w14:paraId="255B0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基于此，本研究定义</w:t>
      </w:r>
      <w:r>
        <w:rPr>
          <w:rFonts w:ascii="Arial" w:hAnsi="Arial" w:eastAsia="等线" w:cs="Arial"/>
          <w:b/>
          <w:sz w:val="22"/>
        </w:rPr>
        <w:t>"互动衰减率"</w:t>
      </w:r>
      <w:r>
        <w:rPr>
          <w:rFonts w:ascii="Arial" w:hAnsi="Arial" w:eastAsia="等线" w:cs="Arial"/>
          <w:sz w:val="22"/>
        </w:rPr>
        <w:t>为核心疲劳指标，以一个月为最长周期，判断帖子的流量疲劳：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1A4A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0BF9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互动衰减率 = DayX 互动率 ÷ Day1 互动率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其中，互动率 = (点赞数 + 收藏数 + 评论数) ÷ 阅读数</w:t>
            </w:r>
          </w:p>
        </w:tc>
      </w:tr>
    </w:tbl>
    <w:p w14:paraId="3EFBA814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0DB4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FA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以天为单位计算每天的互动率，如果互动率持续下跌，说明帖子开始疲劳。</w:t>
            </w:r>
          </w:p>
        </w:tc>
      </w:tr>
    </w:tbl>
    <w:p w14:paraId="271FFD7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 数据分析</w:t>
      </w:r>
      <w:bookmarkEnd w:id="17"/>
    </w:p>
    <w:p w14:paraId="2FC7B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为了进一步研究流量数据对帖子不同要素的疲劳影响情况，我们爬取了小红书 </w:t>
      </w:r>
      <w:r>
        <w:rPr>
          <w:rFonts w:ascii="Arial" w:hAnsi="Arial" w:eastAsia="等线" w:cs="Arial"/>
          <w:b/>
          <w:sz w:val="22"/>
        </w:rPr>
        <w:t>200 多份</w:t>
      </w:r>
      <w:r>
        <w:rPr>
          <w:rFonts w:ascii="Arial" w:hAnsi="Arial" w:eastAsia="等线" w:cs="Arial"/>
          <w:sz w:val="22"/>
        </w:rPr>
        <w:t>美妆行业种草贴、交流贴、带货帖、评价贴等内容，并以此为样本，生成了</w:t>
      </w:r>
      <w:r>
        <w:rPr>
          <w:rFonts w:ascii="Arial" w:hAnsi="Arial" w:eastAsia="等线" w:cs="Arial"/>
          <w:b/>
          <w:sz w:val="22"/>
        </w:rPr>
        <w:t>两千份</w:t>
      </w:r>
      <w:r>
        <w:rPr>
          <w:rFonts w:ascii="Arial" w:hAnsi="Arial" w:eastAsia="等线" w:cs="Arial"/>
          <w:sz w:val="22"/>
        </w:rPr>
        <w:t>小红书图文帖及三十天中（第一天、第三天、第七天、第十四天、第三十天）的数据内容。</w:t>
      </w:r>
    </w:p>
    <w:p w14:paraId="605F8C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数据生成维度包括：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9"/>
        <w:gridCol w:w="1461"/>
        <w:gridCol w:w="795"/>
        <w:gridCol w:w="795"/>
        <w:gridCol w:w="795"/>
        <w:gridCol w:w="795"/>
        <w:gridCol w:w="795"/>
        <w:gridCol w:w="1170"/>
      </w:tblGrid>
      <w:tr w14:paraId="2C18E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CF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BA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AA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均值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3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标准差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CA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F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P50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09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P90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8B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取值范围</w:t>
            </w:r>
          </w:p>
        </w:tc>
      </w:tr>
      <w:tr w14:paraId="2CA805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7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标题字数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32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标题字符数量（中文计数）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C7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23.2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05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2B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76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CB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3E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8~38</w:t>
            </w:r>
          </w:p>
        </w:tc>
      </w:tr>
      <w:tr w14:paraId="3CD13B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82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封面宽高比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AB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封面图片宽度÷高度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C8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0.99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C9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0.32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7B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0.56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BF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0.99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0E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1.43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41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0.45~1.55</w:t>
            </w:r>
          </w:p>
        </w:tc>
      </w:tr>
      <w:tr w14:paraId="367B06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63E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图片数量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1BE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笔记正文图片数量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A4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20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2.2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A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A3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5E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71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1~9</w:t>
            </w:r>
          </w:p>
        </w:tc>
      </w:tr>
      <w:tr w14:paraId="6063E6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D6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植入密度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79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正文中品牌/产品词占比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AD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0.093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26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0.051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22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0.022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8B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0.092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3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0.164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1F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0.005~0.18</w:t>
            </w:r>
          </w:p>
        </w:tc>
      </w:tr>
      <w:tr w14:paraId="4C21EF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23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感叹号数量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86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标题中感叹号数量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5A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2C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C4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F6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FD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7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0~3</w:t>
            </w:r>
          </w:p>
        </w:tc>
      </w:tr>
      <w:tr w14:paraId="2BCA8A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17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标签总数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EA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笔记标签总数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B9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4.8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6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1.6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85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45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9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C4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2~8</w:t>
            </w:r>
          </w:p>
        </w:tc>
      </w:tr>
      <w:tr w14:paraId="650ADA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80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垂直标签数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28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赛道相关标签数量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96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1.9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60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9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AE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97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859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1~4</w:t>
            </w:r>
          </w:p>
        </w:tc>
      </w:tr>
      <w:tr w14:paraId="0DA4C4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8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发布星期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5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周几发布（0=周日）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11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77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D2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2C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1F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42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0~6</w:t>
            </w:r>
          </w:p>
        </w:tc>
      </w:tr>
      <w:tr w14:paraId="364EEB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F8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发布小时</w:t>
            </w:r>
          </w:p>
        </w:tc>
        <w:tc>
          <w:tcPr>
            <w:tcW w:w="14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44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几点发布（24小时制）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BE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13.2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81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4.7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2E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F0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F5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80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0~23</w:t>
            </w:r>
          </w:p>
        </w:tc>
      </w:tr>
    </w:tbl>
    <w:p w14:paraId="72EF857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 引起疲劳的主要素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41A9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3185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105400" cy="742950"/>
                  <wp:effectExtent l="0" t="0" r="0" b="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015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对 </w:t>
      </w:r>
      <w:r>
        <w:rPr>
          <w:rFonts w:ascii="Arial" w:hAnsi="Arial" w:eastAsia="等线" w:cs="Arial"/>
          <w:b/>
          <w:sz w:val="22"/>
        </w:rPr>
        <w:t>7 个核心内容要素</w:t>
      </w:r>
      <w:r>
        <w:rPr>
          <w:rFonts w:ascii="Arial" w:hAnsi="Arial" w:eastAsia="等线" w:cs="Arial"/>
          <w:sz w:val="22"/>
        </w:rPr>
        <w:t>（标题、封面、图片、钩子、正文、标签、发布、互动）进行独立分组分析。以互动衰减率为结果变量，计算各分组的均值和样本量，采用</w:t>
      </w:r>
      <w:r>
        <w:rPr>
          <w:rFonts w:ascii="Arial" w:hAnsi="Arial" w:eastAsia="等线" w:cs="Arial"/>
          <w:b/>
          <w:sz w:val="22"/>
        </w:rPr>
        <w:t>独立双样本 t 检验</w:t>
      </w:r>
      <w:r>
        <w:rPr>
          <w:rFonts w:ascii="Arial" w:hAnsi="Arial" w:eastAsia="等线" w:cs="Arial"/>
          <w:sz w:val="22"/>
        </w:rPr>
        <w:t xml:space="preserve">比较最优/最差两组间差异，并以 </w:t>
      </w:r>
      <w:r>
        <w:rPr>
          <w:rFonts w:ascii="Arial" w:hAnsi="Arial" w:eastAsia="等线" w:cs="Arial"/>
          <w:b/>
          <w:sz w:val="22"/>
        </w:rPr>
        <w:t>Cohen's d</w:t>
      </w:r>
      <w:r>
        <w:rPr>
          <w:rFonts w:ascii="Arial" w:hAnsi="Arial" w:eastAsia="等线" w:cs="Arial"/>
          <w:sz w:val="22"/>
        </w:rPr>
        <w:t xml:space="preserve"> 衡量效应大小。</w:t>
      </w:r>
    </w:p>
    <w:p w14:paraId="7A1E97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核心结论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5C45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F4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钩子、正文与发布时间的变化会显著影响小红书内容的疲劳；而标题长短、封面类型、标签、互动量等对于帖子的疲劳影响不是十分显著。</w:t>
            </w:r>
          </w:p>
        </w:tc>
      </w:tr>
    </w:tbl>
    <w:p w14:paraId="6EE34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也就是说，对于一篇内容的修改，</w:t>
      </w:r>
      <w:r>
        <w:rPr>
          <w:rFonts w:ascii="Arial" w:hAnsi="Arial" w:eastAsia="等线" w:cs="Arial"/>
          <w:b/>
          <w:sz w:val="22"/>
        </w:rPr>
        <w:t>主要修改钩子，与部分正文内容，即可以很大程度缓解疲劳！</w:t>
      </w:r>
    </w:p>
    <w:p w14:paraId="11AF3B4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5.4 要素详细归因</w:t>
      </w:r>
      <w:bookmarkEnd w:id="19"/>
    </w:p>
    <w:p w14:paraId="0ED3809D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5.4.1 钩子</w:t>
      </w:r>
      <w:bookmarkEnd w:id="20"/>
    </w:p>
    <w:p w14:paraId="4E97A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钩子（标题或封面图文内容）由三个维度组合构成：</w:t>
      </w:r>
    </w:p>
    <w:p w14:paraId="59DEC2E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是否有数字（N）</w:t>
      </w:r>
    </w:p>
    <w:p w14:paraId="4B67C9C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是否有情绪词（E）</w:t>
      </w:r>
    </w:p>
    <w:p w14:paraId="4D8B734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感叹号数量（X0~X3）</w:t>
      </w:r>
    </w:p>
    <w:p w14:paraId="55CC2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通过排列组合共形成 </w:t>
      </w:r>
      <w:r>
        <w:rPr>
          <w:rFonts w:ascii="Arial" w:hAnsi="Arial" w:eastAsia="等线" w:cs="Arial"/>
          <w:b/>
          <w:sz w:val="22"/>
        </w:rPr>
        <w:t>16 种钩子模式</w:t>
      </w:r>
      <w:r>
        <w:rPr>
          <w:rFonts w:ascii="Arial" w:hAnsi="Arial" w:eastAsia="等线" w:cs="Arial"/>
          <w:sz w:val="22"/>
        </w:rPr>
        <w:t>。</w:t>
      </w:r>
    </w:p>
    <w:p w14:paraId="2B8378EB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5248FD3F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9954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结论</w:t>
      </w:r>
      <w:r>
        <w:rPr>
          <w:rFonts w:ascii="Arial" w:hAnsi="Arial" w:eastAsia="等线" w:cs="Arial"/>
          <w:sz w:val="22"/>
        </w:rPr>
        <w:t>：</w:t>
      </w:r>
    </w:p>
    <w:p w14:paraId="6832A58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最易疲劳</w:t>
      </w:r>
      <w:r>
        <w:rPr>
          <w:rFonts w:ascii="Arial" w:hAnsi="Arial" w:eastAsia="等线" w:cs="Arial"/>
          <w:sz w:val="22"/>
        </w:rPr>
        <w:t>：有数字 + 无情绪词 + 感叹号×1；无数字 + 有情绪词 + 感叹号×1</w:t>
      </w:r>
    </w:p>
    <w:p w14:paraId="750ECE2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最不易疲劳</w:t>
      </w:r>
      <w:r>
        <w:rPr>
          <w:rFonts w:ascii="Arial" w:hAnsi="Arial" w:eastAsia="等线" w:cs="Arial"/>
          <w:sz w:val="22"/>
        </w:rPr>
        <w:t>：有数字 + 有情绪词 + 2 个感叹号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E5B7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9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这一结论直接指导产品中的"AI 归因分析"模块：当系统检测到素材疲劳时，优先推荐"钩子表达"作为主变量进行实验。</w:t>
            </w:r>
          </w:p>
        </w:tc>
      </w:tr>
    </w:tbl>
    <w:p w14:paraId="09C28E97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5.4.2 正文</w:t>
      </w:r>
      <w:bookmarkEnd w:id="21"/>
    </w:p>
    <w:p w14:paraId="46805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从正文的</w:t>
      </w:r>
      <w:r>
        <w:rPr>
          <w:rFonts w:ascii="Arial" w:hAnsi="Arial" w:eastAsia="等线" w:cs="Arial"/>
          <w:b/>
          <w:sz w:val="22"/>
        </w:rPr>
        <w:t>风格</w:t>
      </w:r>
      <w:r>
        <w:rPr>
          <w:rFonts w:ascii="Arial" w:hAnsi="Arial" w:eastAsia="等线" w:cs="Arial"/>
          <w:sz w:val="22"/>
        </w:rPr>
        <w:t>与正文中广告植入的</w:t>
      </w:r>
      <w:r>
        <w:rPr>
          <w:rFonts w:ascii="Arial" w:hAnsi="Arial" w:eastAsia="等线" w:cs="Arial"/>
          <w:b/>
          <w:sz w:val="22"/>
        </w:rPr>
        <w:t>文字密度</w:t>
      </w:r>
      <w:r>
        <w:rPr>
          <w:rFonts w:ascii="Arial" w:hAnsi="Arial" w:eastAsia="等线" w:cs="Arial"/>
          <w:sz w:val="22"/>
        </w:rPr>
        <w:t>两个方面进行评估。</w:t>
      </w:r>
    </w:p>
    <w:p w14:paraId="230A1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风格结论</w:t>
      </w:r>
      <w:r>
        <w:rPr>
          <w:rFonts w:ascii="Arial" w:hAnsi="Arial" w:eastAsia="等线" w:cs="Arial"/>
          <w:sz w:val="22"/>
        </w:rPr>
        <w:t>：</w:t>
      </w:r>
    </w:p>
    <w:p w14:paraId="2EF8794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温和风格最优</w:t>
      </w:r>
      <w:r>
        <w:rPr>
          <w:rFonts w:ascii="Arial" w:hAnsi="Arial" w:eastAsia="等线" w:cs="Arial"/>
          <w:sz w:val="22"/>
        </w:rPr>
        <w:t>，最不容易引起疲劳</w:t>
      </w:r>
    </w:p>
    <w:p w14:paraId="1BC4F1F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佛系风格最差</w:t>
      </w:r>
      <w:r>
        <w:rPr>
          <w:rFonts w:ascii="Arial" w:hAnsi="Arial" w:eastAsia="等线" w:cs="Arial"/>
          <w:sz w:val="22"/>
        </w:rPr>
        <w:t>，差异边缘显著（p=0.069）</w:t>
      </w:r>
    </w:p>
    <w:p w14:paraId="44C5DC4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当内容较为佛系时，可以尝试向其他风格转移；当温柔风格疲劳时，可以向冲突或者高效方向转移</w:t>
      </w:r>
    </w:p>
    <w:p w14:paraId="2DD7AE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植入密度结论</w:t>
      </w:r>
      <w:r>
        <w:rPr>
          <w:rFonts w:ascii="Arial" w:hAnsi="Arial" w:eastAsia="等线" w:cs="Arial"/>
          <w:sz w:val="22"/>
        </w:rPr>
        <w:t>：</w:t>
      </w:r>
    </w:p>
    <w:p w14:paraId="08E29F2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当植入密度在 </w:t>
      </w:r>
      <w:r>
        <w:rPr>
          <w:rFonts w:ascii="Arial" w:hAnsi="Arial" w:eastAsia="等线" w:cs="Arial"/>
          <w:b/>
          <w:sz w:val="22"/>
        </w:rPr>
        <w:t>5% 到 10%</w:t>
      </w:r>
      <w:r>
        <w:rPr>
          <w:rFonts w:ascii="Arial" w:hAnsi="Arial" w:eastAsia="等线" w:cs="Arial"/>
          <w:sz w:val="22"/>
        </w:rPr>
        <w:t xml:space="preserve"> 之间，最容易吸引消费者互动</w:t>
      </w:r>
    </w:p>
    <w:p w14:paraId="13AB397C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5.4.3 其余要素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2880"/>
        <w:gridCol w:w="4020"/>
      </w:tblGrid>
      <w:tr w14:paraId="28F05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B4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要素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69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最优策略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CF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F55D8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36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标题长度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16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15~32 字之间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DB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互动衰减率最低，疲劳程度最低。陈述句类型略优</w:t>
            </w:r>
          </w:p>
        </w:tc>
      </w:tr>
      <w:tr w14:paraId="0214E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9C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封面图类型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5A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产品图最优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2F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对比图与模特图其次，场景图最容易引起疲劳</w:t>
            </w:r>
          </w:p>
        </w:tc>
      </w:tr>
      <w:tr w14:paraId="312C5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31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CTA 互动引导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C5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"购买同款" &gt; "收藏备用" &gt; "评论领取"</w:t>
            </w:r>
          </w:p>
        </w:tc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AB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直接购买导向建立最短转化路径，用户互动意愿强且算法分发信号明确；评论需要用户主动打字，门槛远高于点赞/收藏，互动参与率低导致算法分发效率差，加速疲劳</w:t>
            </w:r>
          </w:p>
        </w:tc>
      </w:tr>
    </w:tbl>
    <w:p w14:paraId="46612D97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23" w:name="heading_23"/>
    </w:p>
    <w:p w14:paraId="6ACD2CA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5.5 疲劳归因方法总结</w:t>
      </w:r>
      <w:bookmarkEnd w:id="23"/>
    </w:p>
    <w:p w14:paraId="0D8D4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上合的疲劳诊断采用</w:t>
      </w:r>
      <w:r>
        <w:rPr>
          <w:rFonts w:ascii="Arial" w:hAnsi="Arial" w:eastAsia="等线" w:cs="Arial"/>
          <w:b/>
          <w:sz w:val="22"/>
        </w:rPr>
        <w:t>"规则化指标计算 + AI 解释归因"</w:t>
      </w:r>
      <w:r>
        <w:rPr>
          <w:rFonts w:ascii="Arial" w:hAnsi="Arial" w:eastAsia="等线" w:cs="Arial"/>
          <w:sz w:val="22"/>
        </w:rPr>
        <w:t>双引擎：</w:t>
      </w:r>
    </w:p>
    <w:p w14:paraId="089B86A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量化层</w:t>
      </w:r>
      <w:r>
        <w:rPr>
          <w:rFonts w:ascii="Arial" w:hAnsi="Arial" w:eastAsia="等线" w:cs="Arial"/>
          <w:sz w:val="22"/>
        </w:rPr>
        <w:t>：通过互动衰减率、CTR 下滑幅度、收藏率变化、曝光频次、评论重复信号等规则化指标计算疲劳分。</w:t>
      </w:r>
    </w:p>
    <w:p w14:paraId="45C783B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归因层</w:t>
      </w:r>
      <w:r>
        <w:rPr>
          <w:rFonts w:ascii="Arial" w:hAnsi="Arial" w:eastAsia="等线" w:cs="Arial"/>
          <w:sz w:val="22"/>
        </w:rPr>
        <w:t>：基于上述要素分析结论，AI 解释疲劳原因并推荐主变量（钩子 / 视觉 / 卖点 / 合规）。</w:t>
      </w:r>
    </w:p>
    <w:p w14:paraId="0A05773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实验层</w:t>
      </w:r>
      <w:r>
        <w:rPr>
          <w:rFonts w:ascii="Arial" w:hAnsi="Arial" w:eastAsia="等线" w:cs="Arial"/>
          <w:sz w:val="22"/>
        </w:rPr>
        <w:t>：锁定一个主变量，设计对照组和变体组，确保实验可比较、可复盘。</w:t>
      </w:r>
    </w:p>
    <w:p w14:paraId="59B4640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440462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六、产品定位与价值主张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BA3B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012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105400" cy="1104900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B4AC0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6.1 产品一句话</w:t>
      </w:r>
      <w:bookmarkEnd w:id="25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6959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7F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面向信息流广告创意疲劳的 AI 诊断、续命和复盘工作台。</w:t>
            </w:r>
          </w:p>
        </w:tc>
      </w:tr>
    </w:tbl>
    <w:p w14:paraId="56456AAB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6.2 产品目标</w:t>
      </w:r>
      <w:bookmarkEnd w:id="26"/>
    </w:p>
    <w:p w14:paraId="2BFA9B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从"批量生成广告素材"转向"延长已有优质创意生命周期"。</w:t>
      </w:r>
    </w:p>
    <w:p w14:paraId="1AAF300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帮助优化师判断素材是否进入疲劳期，以及应该优先改哪个变量。</w:t>
      </w:r>
    </w:p>
    <w:p w14:paraId="07C1B39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用单变量实验提升创意迭代的可比较性和可复盘性。</w:t>
      </w:r>
    </w:p>
    <w:p w14:paraId="6DE96B5C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将合规扫描前置，减少生成后返工。</w:t>
      </w:r>
    </w:p>
    <w:p w14:paraId="73BC984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用统一数据口径完成投放实验和复盘沉淀。</w:t>
      </w:r>
    </w:p>
    <w:p w14:paraId="245B9619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6.3 价值闭环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F469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E2DA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发现疲劳 → 诊断归因 → 单变量续命 → 合规预审 → A/B 实验 → 复盘沉淀 → 知识库更新 → 下一轮诊断</w:t>
            </w:r>
          </w:p>
        </w:tc>
      </w:tr>
    </w:tbl>
    <w:p w14:paraId="34ED4362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6.4 非本期目标</w:t>
      </w:r>
      <w:bookmarkEnd w:id="28"/>
    </w:p>
    <w:p w14:paraId="4675408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CTR / CVR 精准预测</w:t>
      </w:r>
    </w:p>
    <w:p w14:paraId="7449CB0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视频生成</w:t>
      </w:r>
    </w:p>
    <w:p w14:paraId="13AF516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全行业泛化</w:t>
      </w:r>
    </w:p>
    <w:p w14:paraId="2FB023E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在无数据依据时直接判断素材真实效果</w:t>
      </w:r>
    </w:p>
    <w:p w14:paraId="4916E6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86CD50A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七、最新原型设计说明</w:t>
      </w:r>
      <w:bookmarkEnd w:id="29"/>
    </w:p>
    <w:p w14:paraId="0DB1BCA9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7.1 原型概述</w:t>
      </w:r>
      <w:bookmarkEnd w:id="30"/>
    </w:p>
    <w:p w14:paraId="0C003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当前原型为单文件 HTML 网页，部署于 Vercel，支持三阶段工作流：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CA78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CA9CB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疲劳诊断中心</w:t>
            </w:r>
            <w:r>
              <w:rPr>
                <w:rFonts w:ascii="Arial" w:hAnsi="Arial" w:eastAsia="等线" w:cs="Arial"/>
                <w:sz w:val="22"/>
              </w:rPr>
              <w:t>：展示素材列表、筛选器、统计卡、AI 归因分析</w:t>
            </w:r>
          </w:p>
        </w:tc>
      </w:tr>
      <w:tr w14:paraId="73AAA3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D431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105400" cy="3409950"/>
                  <wp:effectExtent l="0" t="0" r="0" b="0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3FC1F">
            <w:pPr>
              <w:spacing w:before="120" w:after="120" w:line="288" w:lineRule="auto"/>
              <w:ind w:left="0"/>
              <w:jc w:val="left"/>
            </w:pPr>
          </w:p>
        </w:tc>
      </w:tr>
      <w:tr w14:paraId="04D2E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4AE53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智能续命工作台</w:t>
            </w:r>
            <w:r>
              <w:rPr>
                <w:rFonts w:ascii="Arial" w:hAnsi="Arial" w:eastAsia="等线" w:cs="Arial"/>
                <w:sz w:val="22"/>
              </w:rPr>
              <w:t>：实验变量、实验设置、合规预审、变体列表、手机预览</w:t>
            </w:r>
          </w:p>
        </w:tc>
      </w:tr>
      <w:tr w14:paraId="0CE63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C0B1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105400" cy="4219575"/>
                  <wp:effectExtent l="0" t="0" r="0" b="0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21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93CAB">
            <w:pPr>
              <w:spacing w:before="120" w:after="120" w:line="288" w:lineRule="auto"/>
              <w:ind w:left="0"/>
              <w:jc w:val="left"/>
            </w:pPr>
          </w:p>
        </w:tc>
      </w:tr>
      <w:tr w14:paraId="590476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96EE4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复盘看板</w:t>
            </w:r>
            <w:r>
              <w:rPr>
                <w:rFonts w:ascii="Arial" w:hAnsi="Arial" w:eastAsia="等线" w:cs="Arial"/>
                <w:sz w:val="22"/>
              </w:rPr>
              <w:t>：实验结果、业务闭环、学习闭环、知识沉淀</w:t>
            </w:r>
          </w:p>
        </w:tc>
      </w:tr>
      <w:tr w14:paraId="52410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722D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105400" cy="3390900"/>
                  <wp:effectExtent l="0" t="0" r="0" b="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BF78E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7.2 核心交互</w:t>
      </w:r>
      <w:bookmarkEnd w:id="31"/>
    </w:p>
    <w:p w14:paraId="2CF1130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Stepper 导航</w:t>
      </w:r>
      <w:r>
        <w:rPr>
          <w:rFonts w:ascii="Arial" w:hAnsi="Arial" w:eastAsia="等线" w:cs="Arial"/>
          <w:sz w:val="22"/>
        </w:rPr>
        <w:t>：顶部三阶段 stepper，支持点击切换模块</w:t>
      </w:r>
    </w:p>
    <w:p w14:paraId="1AFA07B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动态筛选器</w:t>
      </w:r>
      <w:r>
        <w:rPr>
          <w:rFonts w:ascii="Arial" w:hAnsi="Arial" w:eastAsia="等线" w:cs="Arial"/>
          <w:sz w:val="22"/>
        </w:rPr>
        <w:t>：Campaign、内容形态、投放阶段、时间窗口联动刷新</w:t>
      </w:r>
    </w:p>
    <w:p w14:paraId="4E777AC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素材级实验状态</w:t>
      </w:r>
      <w:r>
        <w:rPr>
          <w:rFonts w:ascii="Arial" w:hAnsi="Arial" w:eastAsia="等线" w:cs="Arial"/>
          <w:sz w:val="22"/>
        </w:rPr>
        <w:t>：支持并行追踪多个素材的实验状态（idle / running / completed）</w:t>
      </w:r>
    </w:p>
    <w:p w14:paraId="4BC8A48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单变量实验约束</w:t>
      </w:r>
      <w:r>
        <w:rPr>
          <w:rFonts w:ascii="Arial" w:hAnsi="Arial" w:eastAsia="等线" w:cs="Arial"/>
          <w:sz w:val="22"/>
        </w:rPr>
        <w:t>：视觉变体仅改图片，钩子变体仅改文案，卖点变体仅改排序</w:t>
      </w:r>
    </w:p>
    <w:p w14:paraId="53DDBE3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合规预审卡片</w:t>
      </w:r>
      <w:r>
        <w:rPr>
          <w:rFonts w:ascii="Arial" w:hAnsi="Arial" w:eastAsia="等线" w:cs="Arial"/>
          <w:sz w:val="22"/>
        </w:rPr>
        <w:t>：点击可查看审计详情弹窗</w:t>
      </w:r>
    </w:p>
    <w:p w14:paraId="70F65CF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实验完成 Toast</w:t>
      </w:r>
      <w:r>
        <w:rPr>
          <w:rFonts w:ascii="Arial" w:hAnsi="Arial" w:eastAsia="等线" w:cs="Arial"/>
          <w:sz w:val="22"/>
        </w:rPr>
        <w:t>：顶部悬浮通知，点击直接跳转到复盘看板</w:t>
      </w:r>
    </w:p>
    <w:p w14:paraId="581F1303">
      <w:pPr>
        <w:spacing w:before="300" w:after="120" w:line="288" w:lineRule="auto"/>
        <w:ind w:left="0"/>
        <w:jc w:val="left"/>
        <w:outlineLvl w:val="2"/>
      </w:pPr>
      <w:bookmarkStart w:id="32" w:name="heading_32"/>
      <w:bookmarkEnd w:id="32"/>
    </w:p>
    <w:p w14:paraId="6488C1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C866DC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八、核心功能需求</w:t>
      </w:r>
      <w:bookmarkEnd w:id="33"/>
    </w:p>
    <w:p w14:paraId="4DEDC301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8.1 功能矩阵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CDB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3E7B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105400" cy="971550"/>
                  <wp:effectExtent l="0" t="0" r="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ED1F6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1394"/>
        <w:gridCol w:w="1470"/>
        <w:gridCol w:w="2880"/>
        <w:gridCol w:w="1815"/>
      </w:tblGrid>
      <w:tr w14:paraId="26610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38F73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编号</w:t>
            </w:r>
          </w:p>
        </w:tc>
        <w:tc>
          <w:tcPr>
            <w:tcW w:w="1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12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功能名称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45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07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DC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484495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41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</w:t>
            </w:r>
          </w:p>
        </w:tc>
        <w:tc>
          <w:tcPr>
            <w:tcW w:w="1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BF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数据筛选与素材列表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1E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展示高疲劳素材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A3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Campaign、内容形态、投放阶段、时间窗口筛选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CD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筛选后的素材列表</w:t>
            </w:r>
          </w:p>
        </w:tc>
      </w:tr>
      <w:tr w14:paraId="7AC4FD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98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F2</w:t>
            </w:r>
          </w:p>
        </w:tc>
        <w:tc>
          <w:tcPr>
            <w:tcW w:w="1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AE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疲劳指数与 AI 归因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15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解释为什么素材需要续命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94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历史表现、疲劳分、诊断依据、AI 归因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7C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推荐实验的主变量</w:t>
            </w:r>
          </w:p>
        </w:tc>
      </w:tr>
      <w:tr w14:paraId="1985AE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CE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F3</w:t>
            </w:r>
          </w:p>
        </w:tc>
        <w:tc>
          <w:tcPr>
            <w:tcW w:w="1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E2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主变量推荐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CE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锁定一个主变量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30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基于归因分析推荐钩子/视觉/卖点/合规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FE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主变量标签</w:t>
            </w:r>
          </w:p>
        </w:tc>
      </w:tr>
      <w:tr w14:paraId="52BB02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70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F4</w:t>
            </w:r>
          </w:p>
        </w:tc>
        <w:tc>
          <w:tcPr>
            <w:tcW w:w="1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69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变体生成与单变量实验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B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生成可比较的变体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38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对照组、变体组、固定项、统一判断口径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3E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单变量变体组</w:t>
            </w:r>
          </w:p>
        </w:tc>
      </w:tr>
      <w:tr w14:paraId="7DE7D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05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F5</w:t>
            </w:r>
          </w:p>
        </w:tc>
        <w:tc>
          <w:tcPr>
            <w:tcW w:w="1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B6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实验设置与状态管理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CF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配置实验参数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5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实验窗口、每组曝光、核心指标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BA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实验配置</w:t>
            </w:r>
          </w:p>
        </w:tc>
      </w:tr>
      <w:tr w14:paraId="371F8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39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F6</w:t>
            </w:r>
          </w:p>
        </w:tc>
        <w:tc>
          <w:tcPr>
            <w:tcW w:w="1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6B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合规预审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79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审计变体合规性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B4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B01-B03 审计记录、风险类型、自动改写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A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合规候选版本</w:t>
            </w:r>
          </w:p>
        </w:tc>
      </w:tr>
      <w:tr w14:paraId="181A47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63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F7</w:t>
            </w:r>
          </w:p>
        </w:tc>
        <w:tc>
          <w:tcPr>
            <w:tcW w:w="1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63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复盘看板与知识沉淀</w:t>
            </w:r>
          </w:p>
        </w:tc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E2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基于数据沉淀经验</w:t>
            </w:r>
          </w:p>
        </w:tc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6B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版本对比、最优版本、知识库条目、历史库写回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27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复盘结论与下一轮诊断输入</w:t>
            </w:r>
          </w:p>
        </w:tc>
      </w:tr>
    </w:tbl>
    <w:p w14:paraId="5F6FF96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8.2 变体生成范围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5"/>
        <w:gridCol w:w="2910"/>
        <w:gridCol w:w="2775"/>
        <w:gridCol w:w="1830"/>
      </w:tblGrid>
      <w:tr w14:paraId="40D5D6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97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主变量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CF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生成内容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DC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固定项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33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53ACB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85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钩子表达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51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 / 入口文案变体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6C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产品图、卖点层级、CTA、投放窗口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84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第一眼进入理由变弱</w:t>
            </w:r>
          </w:p>
        </w:tc>
      </w:tr>
      <w:tr w14:paraId="33532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10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视觉构图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13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产品特写、使用场景、成分质地图等构图变体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FA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标题、主文案、卖点层级、CTA、投放窗口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25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视觉重复或第一屏吸引力下降</w:t>
            </w:r>
          </w:p>
        </w:tc>
      </w:tr>
      <w:tr w14:paraId="6E77FB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D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卖点层级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92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修护优先、焕亮优先、温和优先等卖点顺序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BC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封面构图、标题风格、CTA、投放窗口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15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点击尚可但转化或收藏弱</w:t>
            </w:r>
          </w:p>
        </w:tc>
      </w:tr>
      <w:tr w14:paraId="361FC4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8B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CTA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EE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查看方案、保存清单、了解成分等行动引导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26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标题、主文案、构图、卖点层级、投放窗口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5B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用户有兴趣但行动转化弱</w:t>
            </w:r>
          </w:p>
        </w:tc>
      </w:tr>
    </w:tbl>
    <w:p w14:paraId="4B457DE8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36" w:name="heading_36"/>
    </w:p>
    <w:p w14:paraId="7118407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8.3 知识库沉淀规则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1663"/>
        <w:gridCol w:w="5227"/>
      </w:tblGrid>
      <w:tr w14:paraId="5A9CB8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4D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沉淀类型</w:t>
            </w:r>
          </w:p>
        </w:tc>
        <w:tc>
          <w:tcPr>
            <w:tcW w:w="16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C9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来源环节</w:t>
            </w:r>
          </w:p>
        </w:tc>
        <w:tc>
          <w:tcPr>
            <w:tcW w:w="5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D0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本轮写入内容示例</w:t>
            </w:r>
          </w:p>
        </w:tc>
      </w:tr>
      <w:tr w14:paraId="582C8D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D2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投放动作</w:t>
            </w:r>
          </w:p>
        </w:tc>
        <w:tc>
          <w:tcPr>
            <w:tcW w:w="16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0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投放实验 / 数据回填</w:t>
            </w:r>
          </w:p>
        </w:tc>
        <w:tc>
          <w:tcPr>
            <w:tcW w:w="5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42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 场景钩子"明早有会，今晚的脸别先投降"CTR 1.58%，较 A03 对照组 +39.8%，进入放量候选</w:t>
            </w:r>
          </w:p>
        </w:tc>
      </w:tr>
      <w:tr w14:paraId="4AFE6B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C8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合规规则</w:t>
            </w:r>
          </w:p>
        </w:tc>
        <w:tc>
          <w:tcPr>
            <w:tcW w:w="16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30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合规扫描审计</w:t>
            </w:r>
          </w:p>
        </w:tc>
        <w:tc>
          <w:tcPr>
            <w:tcW w:w="5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4D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B02 内部草稿"屏障在求救"拟人化偏强，候选版改为"肌肤状态在提醒你需要修护"</w:t>
            </w:r>
          </w:p>
        </w:tc>
      </w:tr>
      <w:tr w14:paraId="748C0A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D09BC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写回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知识库</w:t>
            </w:r>
          </w:p>
        </w:tc>
        <w:tc>
          <w:tcPr>
            <w:tcW w:w="16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FD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复盘看板</w:t>
            </w:r>
          </w:p>
        </w:tc>
        <w:tc>
          <w:tcPr>
            <w:tcW w:w="5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7A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 B01 作为新历史素材样本写回素材库，并记录本轮统一口径数据</w:t>
            </w:r>
          </w:p>
        </w:tc>
      </w:tr>
    </w:tbl>
    <w:p w14:paraId="3AC7EDC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18B5F9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九、数据与 AI 逻辑设计</w:t>
      </w:r>
      <w:bookmarkEnd w:id="37"/>
    </w:p>
    <w:p w14:paraId="5E6E1518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9.1 统一模拟数据集</w:t>
      </w:r>
      <w:bookmarkEnd w:id="38"/>
    </w:p>
    <w:p w14:paraId="37006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原型统一使用同一份模拟数据集，避免各页面数据不连贯。</w:t>
      </w:r>
    </w:p>
    <w:p w14:paraId="4E34391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数据集名称</w:t>
      </w:r>
      <w:r>
        <w:rPr>
          <w:rFonts w:ascii="Arial" w:hAnsi="Arial" w:eastAsia="等线" w:cs="Arial"/>
          <w:sz w:val="22"/>
        </w:rPr>
        <w:t>：SIM-GL-A03-v1</w:t>
      </w:r>
    </w:p>
    <w:p w14:paraId="7B6C9D1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Campaign</w:t>
      </w:r>
      <w:r>
        <w:rPr>
          <w:rFonts w:ascii="Arial" w:hAnsi="Arial" w:eastAsia="等线" w:cs="Arial"/>
          <w:sz w:val="22"/>
        </w:rPr>
        <w:t>：GlowLab 焕亮修护精华</w:t>
      </w:r>
    </w:p>
    <w:p w14:paraId="7748E6B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内容形态</w:t>
      </w:r>
      <w:r>
        <w:rPr>
          <w:rFonts w:ascii="Arial" w:hAnsi="Arial" w:eastAsia="等线" w:cs="Arial"/>
          <w:sz w:val="22"/>
        </w:rPr>
        <w:t>：图文信息流广告</w:t>
      </w:r>
    </w:p>
    <w:p w14:paraId="78004D4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平台</w:t>
      </w:r>
      <w:r>
        <w:rPr>
          <w:rFonts w:ascii="Arial" w:hAnsi="Arial" w:eastAsia="等线" w:cs="Arial"/>
          <w:sz w:val="22"/>
        </w:rPr>
        <w:t>：小红书 / 抖音信息流</w:t>
      </w:r>
    </w:p>
    <w:p w14:paraId="3FC88FB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历史素材</w:t>
      </w:r>
      <w:r>
        <w:rPr>
          <w:rFonts w:ascii="Arial" w:hAnsi="Arial" w:eastAsia="等线" w:cs="Arial"/>
          <w:sz w:val="22"/>
        </w:rPr>
        <w:t>：8 条历史图文素材</w:t>
      </w:r>
    </w:p>
    <w:p w14:paraId="12699BC9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本轮素材</w:t>
      </w:r>
      <w:r>
        <w:rPr>
          <w:rFonts w:ascii="Arial" w:hAnsi="Arial" w:eastAsia="等线" w:cs="Arial"/>
          <w:sz w:val="22"/>
        </w:rPr>
        <w:t>：A03"熬夜脸急救"</w:t>
      </w:r>
    </w:p>
    <w:p w14:paraId="731FF50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人群</w:t>
      </w:r>
      <w:r>
        <w:rPr>
          <w:rFonts w:ascii="Arial" w:hAnsi="Arial" w:eastAsia="等线" w:cs="Arial"/>
          <w:sz w:val="22"/>
        </w:rPr>
        <w:t>：25-35 岁城市通勤女性</w:t>
      </w:r>
    </w:p>
    <w:p w14:paraId="7B97D952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9.2 疲劳诊断依据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2700"/>
        <w:gridCol w:w="915"/>
        <w:gridCol w:w="3193"/>
      </w:tblGrid>
      <w:tr w14:paraId="3AD37D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6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99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A03 数据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3B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权重</w:t>
            </w:r>
          </w:p>
        </w:tc>
        <w:tc>
          <w:tcPr>
            <w:tcW w:w="31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BB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</w:t>
            </w:r>
          </w:p>
        </w:tc>
      </w:tr>
      <w:tr w14:paraId="6F5DA5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4B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 相对下滑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67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1.82% → 1.13%，下滑 37.9%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68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35%</w:t>
            </w:r>
          </w:p>
        </w:tc>
        <w:tc>
          <w:tcPr>
            <w:tcW w:w="31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EE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判断点击吸引力是否衰退</w:t>
            </w:r>
          </w:p>
        </w:tc>
      </w:tr>
      <w:tr w14:paraId="40800A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7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收藏率下滑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01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0.64% → 0.42%，下滑 34.4%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25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25%</w:t>
            </w:r>
          </w:p>
        </w:tc>
        <w:tc>
          <w:tcPr>
            <w:tcW w:w="31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E4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判断内容兴趣是否衰退</w:t>
            </w:r>
          </w:p>
        </w:tc>
      </w:tr>
      <w:tr w14:paraId="3ED0D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60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曝光饱和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E9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近 7 日频次 3.8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CF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31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87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判断是否触达重复</w:t>
            </w:r>
          </w:p>
        </w:tc>
      </w:tr>
      <w:tr w14:paraId="178B3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0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评论重复信号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11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重复感评论占比 18%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5E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31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51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判断用户是否感到旧素材相似</w:t>
            </w:r>
          </w:p>
        </w:tc>
      </w:tr>
    </w:tbl>
    <w:p w14:paraId="47D29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诊断结论</w:t>
      </w:r>
      <w:r>
        <w:rPr>
          <w:rFonts w:ascii="Arial" w:hAnsi="Arial" w:eastAsia="等线" w:cs="Arial"/>
          <w:sz w:val="22"/>
        </w:rPr>
        <w:t>：A03 疲劳分 88。疲劳原因：入口钩子重复，第一眼进入理由变弱。推荐动作：本轮只改钩子表达（主变量），固定产品图、卖点层级、CTA 和投放窗口。</w:t>
      </w:r>
    </w:p>
    <w:p w14:paraId="0FB598DC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40" w:name="heading_40"/>
    </w:p>
    <w:p w14:paraId="39BC88B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9.3 统一实验口径</w:t>
      </w:r>
      <w:bookmarkEnd w:id="40"/>
    </w:p>
    <w:p w14:paraId="4DA4808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实验窗口</w:t>
      </w:r>
      <w:r>
        <w:rPr>
          <w:rFonts w:ascii="Arial" w:hAnsi="Arial" w:eastAsia="等线" w:cs="Arial"/>
          <w:sz w:val="22"/>
        </w:rPr>
        <w:t>：72 小时</w:t>
      </w:r>
    </w:p>
    <w:p w14:paraId="12A5E64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每组曝光</w:t>
      </w:r>
      <w:r>
        <w:rPr>
          <w:rFonts w:ascii="Arial" w:hAnsi="Arial" w:eastAsia="等线" w:cs="Arial"/>
          <w:sz w:val="22"/>
        </w:rPr>
        <w:t>：12,000</w:t>
      </w:r>
    </w:p>
    <w:p w14:paraId="7D20470F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人群一致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平台一致</w:t>
      </w:r>
    </w:p>
    <w:p w14:paraId="7657001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一轮只改变一个主变量</w:t>
      </w:r>
    </w:p>
    <w:p w14:paraId="73C8E7E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主指标</w:t>
      </w:r>
      <w:r>
        <w:rPr>
          <w:rFonts w:ascii="Arial" w:hAnsi="Arial" w:eastAsia="等线" w:cs="Arial"/>
          <w:sz w:val="22"/>
        </w:rPr>
        <w:t>：CTR 提升率</w:t>
      </w:r>
    </w:p>
    <w:p w14:paraId="7F34F28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辅助指标</w:t>
      </w:r>
      <w:r>
        <w:rPr>
          <w:rFonts w:ascii="Arial" w:hAnsi="Arial" w:eastAsia="等线" w:cs="Arial"/>
          <w:sz w:val="22"/>
        </w:rPr>
        <w:t>：收藏率、转化倾向</w:t>
      </w:r>
    </w:p>
    <w:p w14:paraId="2564471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风险指标</w:t>
      </w:r>
      <w:r>
        <w:rPr>
          <w:rFonts w:ascii="Arial" w:hAnsi="Arial" w:eastAsia="等线" w:cs="Arial"/>
          <w:sz w:val="22"/>
        </w:rPr>
        <w:t>：合规通过状态</w:t>
      </w:r>
    </w:p>
    <w:p w14:paraId="24FE84AD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9.4 AI 能力边界</w:t>
      </w:r>
      <w:bookmarkEnd w:id="41"/>
    </w:p>
    <w:p w14:paraId="65320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负责</w:t>
      </w:r>
      <w:r>
        <w:rPr>
          <w:rFonts w:ascii="Arial" w:hAnsi="Arial" w:eastAsia="等线" w:cs="Arial"/>
          <w:sz w:val="22"/>
        </w:rPr>
        <w:t>：</w:t>
      </w:r>
    </w:p>
    <w:p w14:paraId="77EAA33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基于输入数据解释疲劳原因</w:t>
      </w:r>
    </w:p>
    <w:p w14:paraId="5BF64D3E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推荐优先测试变量</w:t>
      </w:r>
    </w:p>
    <w:p w14:paraId="6386EAE4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生成单变量实验矩阵</w:t>
      </w:r>
    </w:p>
    <w:p w14:paraId="4446BCA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生成图文广告变体</w:t>
      </w:r>
    </w:p>
    <w:p w14:paraId="78158F8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扫描合规风险并给出改写建议</w:t>
      </w:r>
    </w:p>
    <w:p w14:paraId="72B176D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基于回填数据生成复盘摘要</w:t>
      </w:r>
    </w:p>
    <w:p w14:paraId="00FDE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不负责</w:t>
      </w:r>
      <w:r>
        <w:rPr>
          <w:rFonts w:ascii="Arial" w:hAnsi="Arial" w:eastAsia="等线" w:cs="Arial"/>
          <w:sz w:val="22"/>
        </w:rPr>
        <w:t>：</w:t>
      </w:r>
    </w:p>
    <w:p w14:paraId="29CCD03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不直接预测真实 CTR / CVR</w:t>
      </w:r>
    </w:p>
    <w:p w14:paraId="79FDE835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不替代真实投放实验</w:t>
      </w:r>
    </w:p>
    <w:p w14:paraId="6B3210F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不在缺少数据依据时直接给确定性效果结论</w:t>
      </w:r>
    </w:p>
    <w:p w14:paraId="1D03A9B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842EA7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十、推广与运营策略规划</w:t>
      </w:r>
      <w:bookmarkEnd w:id="42"/>
    </w:p>
    <w:p w14:paraId="00580656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10.1 冷启动人群</w:t>
      </w:r>
      <w:bookmarkEnd w:id="43"/>
    </w:p>
    <w:p w14:paraId="3ABA664B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种子用户</w:t>
      </w:r>
      <w:r>
        <w:rPr>
          <w:rFonts w:ascii="Arial" w:hAnsi="Arial" w:eastAsia="等线" w:cs="Arial"/>
          <w:sz w:val="22"/>
        </w:rPr>
        <w:t>：代理公司信息流优化师（1-3 人团队）、品牌方内容运营</w:t>
      </w:r>
    </w:p>
    <w:p w14:paraId="239C9DA8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获客渠道</w:t>
      </w:r>
      <w:r>
        <w:rPr>
          <w:rFonts w:ascii="Arial" w:hAnsi="Arial" w:eastAsia="等线" w:cs="Arial"/>
          <w:sz w:val="22"/>
        </w:rPr>
        <w:t>：小红书/抖音效果广告从业者社群、行业公众号</w:t>
      </w:r>
    </w:p>
    <w:p w14:paraId="15EF55B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44" w:name="heading_44"/>
    </w:p>
    <w:p w14:paraId="63CBEFE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10.2 推广场景</w:t>
      </w:r>
      <w:bookmarkEnd w:id="44"/>
    </w:p>
    <w:p w14:paraId="0DF0A8F0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汇报路演</w:t>
      </w:r>
      <w:r>
        <w:rPr>
          <w:rFonts w:ascii="Arial" w:hAnsi="Arial" w:eastAsia="等线" w:cs="Arial"/>
          <w:sz w:val="22"/>
        </w:rPr>
        <w:t>：作为 AI 产品课程期末路演项目，展示从需求分析到原型落地的完整链路</w:t>
      </w:r>
    </w:p>
    <w:p w14:paraId="3F65D7F2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行业分享</w:t>
      </w:r>
      <w:r>
        <w:rPr>
          <w:rFonts w:ascii="Arial" w:hAnsi="Arial" w:eastAsia="等线" w:cs="Arial"/>
          <w:sz w:val="22"/>
        </w:rPr>
        <w:t>：将"单变量实验"方法论整理为行业白皮书，在小红书/抖音优化师社群传播</w:t>
      </w:r>
    </w:p>
    <w:p w14:paraId="4B0486E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 Demo</w:t>
      </w:r>
      <w:r>
        <w:rPr>
          <w:rFonts w:ascii="Arial" w:hAnsi="Arial" w:eastAsia="等线" w:cs="Arial"/>
          <w:sz w:val="22"/>
        </w:rPr>
        <w:t>：线上原型可直接打开，支持快速演示 fatigue diagnosis → variant generation → compliance audit → experiment review 的完整流程</w:t>
      </w:r>
    </w:p>
    <w:p w14:paraId="1C0F3D2B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10.3 运营指标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2955"/>
        <w:gridCol w:w="3870"/>
      </w:tblGrid>
      <w:tr w14:paraId="30D6FF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8F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26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77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</w:tr>
      <w:tr w14:paraId="4BE6D6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78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种子用户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3B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试用转化率、NPS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D2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50% 试用用户完成完整工作流</w:t>
            </w:r>
          </w:p>
        </w:tc>
      </w:tr>
      <w:tr w14:paraId="120F57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6C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商业化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D5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付费转化率、LTV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7B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月付费用户 100+，LTV &gt; 3 倍 CAC</w:t>
            </w:r>
          </w:p>
        </w:tc>
      </w:tr>
    </w:tbl>
    <w:p w14:paraId="6394E2F4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10.4 后续增长策略</w:t>
      </w:r>
      <w:bookmarkEnd w:id="46"/>
    </w:p>
    <w:p w14:paraId="21D50E6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平台扩展</w:t>
      </w:r>
      <w:r>
        <w:rPr>
          <w:rFonts w:ascii="Arial" w:hAnsi="Arial" w:eastAsia="等线" w:cs="Arial"/>
          <w:sz w:val="22"/>
        </w:rPr>
        <w:t>：从小红书图文扩展到抖音短视频、TikTok、Instagram Reels</w:t>
      </w:r>
    </w:p>
    <w:p w14:paraId="731AC69C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行业扩展</w:t>
      </w:r>
      <w:r>
        <w:rPr>
          <w:rFonts w:ascii="Arial" w:hAnsi="Arial" w:eastAsia="等线" w:cs="Arial"/>
          <w:sz w:val="22"/>
        </w:rPr>
        <w:t>：从美妆护肤扩展到 3C、食品、母婴等高素材迭代频率行业</w:t>
      </w:r>
    </w:p>
    <w:p w14:paraId="7E7F0654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数据闭环</w:t>
      </w:r>
      <w:r>
        <w:rPr>
          <w:rFonts w:ascii="Arial" w:hAnsi="Arial" w:eastAsia="等线" w:cs="Arial"/>
          <w:sz w:val="22"/>
        </w:rPr>
        <w:t>：接入真实广告平台 API，实现从诊断到投放的全自动闭环</w:t>
      </w:r>
    </w:p>
    <w:p w14:paraId="6972B505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进化</w:t>
      </w:r>
      <w:r>
        <w:rPr>
          <w:rFonts w:ascii="Arial" w:hAnsi="Arial" w:eastAsia="等线" w:cs="Arial"/>
          <w:sz w:val="22"/>
        </w:rPr>
        <w:t>：引入多模态大模型，支持视频素材的疲劳诊断和变体生成</w:t>
      </w:r>
    </w:p>
    <w:p w14:paraId="650AFA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5AC812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十一、验收标准</w:t>
      </w:r>
      <w:bookmarkEnd w:id="47"/>
    </w:p>
    <w:p w14:paraId="38DB9DDB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包含三阶段核心页面（疲劳诊断、智能续命、复盘看板）</w:t>
      </w:r>
    </w:p>
    <w:p w14:paraId="1A46FC0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8 步业务流程完整展示</w:t>
      </w:r>
    </w:p>
    <w:p w14:paraId="6C4F3F1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疲劳诊断有明确数据依据（互动衰减率、CTR 下滑等）</w:t>
      </w:r>
    </w:p>
    <w:p w14:paraId="2DBE2C11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实验设计使用统一判断口径（72h、12K 曝光、单变量）</w:t>
      </w:r>
    </w:p>
    <w:p w14:paraId="135E05AE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变体生成、合规扫描、投放实验、复盘看板前后数据一致</w:t>
      </w:r>
    </w:p>
    <w:p w14:paraId="5E9F373D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知识库沉淀规则清晰，支持下一轮诊断输入</w:t>
      </w:r>
    </w:p>
    <w:p w14:paraId="671F13AD">
      <w:pPr>
        <w:spacing w:before="120" w:after="120" w:line="288" w:lineRule="auto"/>
        <w:ind w:left="0"/>
        <w:jc w:val="left"/>
      </w:pPr>
      <w:bookmarkStart w:id="48" w:name="_GoBack"/>
      <w:bookmarkEnd w:id="4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7952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204B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0"/>
      <w:numFmt w:val="bullet"/>
      <w:suff w:val="space"/>
      <w:lvlText w:val="☑"/>
      <w:lvlJc w:val="left"/>
    </w:lvl>
  </w:abstractNum>
  <w:abstractNum w:abstractNumId="8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0"/>
      <w:numFmt w:val="bullet"/>
      <w:suff w:val="space"/>
      <w:lvlText w:val="☑"/>
      <w:lvlJc w:val="left"/>
    </w:lvl>
  </w:abstractNum>
  <w:abstractNum w:abstractNumId="1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BDA1395C"/>
    <w:multiLevelType w:val="singleLevel"/>
    <w:tmpl w:val="BDA1395C"/>
    <w:lvl w:ilvl="0" w:tentative="0">
      <w:start w:val="0"/>
      <w:numFmt w:val="bullet"/>
      <w:suff w:val="space"/>
      <w:lvlText w:val="☑"/>
      <w:lvlJc w:val="left"/>
    </w:lvl>
  </w:abstractNum>
  <w:abstractNum w:abstractNumId="1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7B27C5B"/>
    <w:multiLevelType w:val="singleLevel"/>
    <w:tmpl w:val="E7B27C5B"/>
    <w:lvl w:ilvl="0" w:tentative="0">
      <w:start w:val="0"/>
      <w:numFmt w:val="bullet"/>
      <w:suff w:val="space"/>
      <w:lvlText w:val="☑"/>
      <w:lvlJc w:val="left"/>
    </w:lvl>
  </w:abstractNum>
  <w:abstractNum w:abstractNumId="32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2F2D79CE"/>
    <w:multiLevelType w:val="singleLevel"/>
    <w:tmpl w:val="2F2D79CE"/>
    <w:lvl w:ilvl="0" w:tentative="0">
      <w:start w:val="0"/>
      <w:numFmt w:val="bullet"/>
      <w:suff w:val="space"/>
      <w:lvlText w:val="☑"/>
      <w:lvlJc w:val="left"/>
    </w:lvl>
  </w:abstractNum>
  <w:abstractNum w:abstractNumId="5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59EEFD2A"/>
    <w:multiLevelType w:val="singleLevel"/>
    <w:tmpl w:val="59EEFD2A"/>
    <w:lvl w:ilvl="0" w:tentative="0">
      <w:start w:val="0"/>
      <w:numFmt w:val="bullet"/>
      <w:suff w:val="space"/>
      <w:lvlText w:val="☑"/>
      <w:lvlJc w:val="left"/>
    </w:lvl>
  </w:abstractNum>
  <w:abstractNum w:abstractNumId="71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7"/>
  </w:num>
  <w:num w:numId="2">
    <w:abstractNumId w:val="24"/>
  </w:num>
  <w:num w:numId="3">
    <w:abstractNumId w:val="69"/>
  </w:num>
  <w:num w:numId="4">
    <w:abstractNumId w:val="20"/>
  </w:num>
  <w:num w:numId="5">
    <w:abstractNumId w:val="14"/>
  </w:num>
  <w:num w:numId="6">
    <w:abstractNumId w:val="40"/>
  </w:num>
  <w:num w:numId="7">
    <w:abstractNumId w:val="52"/>
  </w:num>
  <w:num w:numId="8">
    <w:abstractNumId w:val="78"/>
  </w:num>
  <w:num w:numId="9">
    <w:abstractNumId w:val="38"/>
  </w:num>
  <w:num w:numId="10">
    <w:abstractNumId w:val="5"/>
  </w:num>
  <w:num w:numId="11">
    <w:abstractNumId w:val="53"/>
  </w:num>
  <w:num w:numId="12">
    <w:abstractNumId w:val="71"/>
  </w:num>
  <w:num w:numId="13">
    <w:abstractNumId w:val="23"/>
  </w:num>
  <w:num w:numId="14">
    <w:abstractNumId w:val="66"/>
  </w:num>
  <w:num w:numId="15">
    <w:abstractNumId w:val="33"/>
  </w:num>
  <w:num w:numId="16">
    <w:abstractNumId w:val="51"/>
  </w:num>
  <w:num w:numId="17">
    <w:abstractNumId w:val="28"/>
  </w:num>
  <w:num w:numId="18">
    <w:abstractNumId w:val="26"/>
  </w:num>
  <w:num w:numId="19">
    <w:abstractNumId w:val="8"/>
  </w:num>
  <w:num w:numId="20">
    <w:abstractNumId w:val="64"/>
  </w:num>
  <w:num w:numId="21">
    <w:abstractNumId w:val="74"/>
  </w:num>
  <w:num w:numId="22">
    <w:abstractNumId w:val="43"/>
  </w:num>
  <w:num w:numId="23">
    <w:abstractNumId w:val="63"/>
  </w:num>
  <w:num w:numId="24">
    <w:abstractNumId w:val="11"/>
  </w:num>
  <w:num w:numId="25">
    <w:abstractNumId w:val="83"/>
  </w:num>
  <w:num w:numId="26">
    <w:abstractNumId w:val="81"/>
  </w:num>
  <w:num w:numId="27">
    <w:abstractNumId w:val="19"/>
  </w:num>
  <w:num w:numId="28">
    <w:abstractNumId w:val="75"/>
  </w:num>
  <w:num w:numId="29">
    <w:abstractNumId w:val="6"/>
  </w:num>
  <w:num w:numId="30">
    <w:abstractNumId w:val="60"/>
  </w:num>
  <w:num w:numId="31">
    <w:abstractNumId w:val="2"/>
  </w:num>
  <w:num w:numId="32">
    <w:abstractNumId w:val="68"/>
  </w:num>
  <w:num w:numId="33">
    <w:abstractNumId w:val="84"/>
  </w:num>
  <w:num w:numId="34">
    <w:abstractNumId w:val="0"/>
  </w:num>
  <w:num w:numId="35">
    <w:abstractNumId w:val="50"/>
  </w:num>
  <w:num w:numId="36">
    <w:abstractNumId w:val="67"/>
  </w:num>
  <w:num w:numId="37">
    <w:abstractNumId w:val="35"/>
  </w:num>
  <w:num w:numId="38">
    <w:abstractNumId w:val="29"/>
  </w:num>
  <w:num w:numId="39">
    <w:abstractNumId w:val="56"/>
  </w:num>
  <w:num w:numId="40">
    <w:abstractNumId w:val="82"/>
  </w:num>
  <w:num w:numId="41">
    <w:abstractNumId w:val="17"/>
  </w:num>
  <w:num w:numId="42">
    <w:abstractNumId w:val="4"/>
  </w:num>
  <w:num w:numId="43">
    <w:abstractNumId w:val="16"/>
  </w:num>
  <w:num w:numId="44">
    <w:abstractNumId w:val="72"/>
  </w:num>
  <w:num w:numId="45">
    <w:abstractNumId w:val="1"/>
  </w:num>
  <w:num w:numId="46">
    <w:abstractNumId w:val="47"/>
  </w:num>
  <w:num w:numId="47">
    <w:abstractNumId w:val="3"/>
  </w:num>
  <w:num w:numId="48">
    <w:abstractNumId w:val="73"/>
  </w:num>
  <w:num w:numId="49">
    <w:abstractNumId w:val="79"/>
  </w:num>
  <w:num w:numId="50">
    <w:abstractNumId w:val="65"/>
  </w:num>
  <w:num w:numId="51">
    <w:abstractNumId w:val="57"/>
  </w:num>
  <w:num w:numId="52">
    <w:abstractNumId w:val="76"/>
  </w:num>
  <w:num w:numId="53">
    <w:abstractNumId w:val="41"/>
  </w:num>
  <w:num w:numId="54">
    <w:abstractNumId w:val="42"/>
  </w:num>
  <w:num w:numId="55">
    <w:abstractNumId w:val="25"/>
  </w:num>
  <w:num w:numId="56">
    <w:abstractNumId w:val="58"/>
  </w:num>
  <w:num w:numId="57">
    <w:abstractNumId w:val="48"/>
  </w:num>
  <w:num w:numId="58">
    <w:abstractNumId w:val="32"/>
  </w:num>
  <w:num w:numId="59">
    <w:abstractNumId w:val="49"/>
  </w:num>
  <w:num w:numId="60">
    <w:abstractNumId w:val="13"/>
  </w:num>
  <w:num w:numId="61">
    <w:abstractNumId w:val="62"/>
  </w:num>
  <w:num w:numId="62">
    <w:abstractNumId w:val="44"/>
  </w:num>
  <w:num w:numId="63">
    <w:abstractNumId w:val="59"/>
  </w:num>
  <w:num w:numId="64">
    <w:abstractNumId w:val="39"/>
  </w:num>
  <w:num w:numId="65">
    <w:abstractNumId w:val="21"/>
  </w:num>
  <w:num w:numId="66">
    <w:abstractNumId w:val="45"/>
  </w:num>
  <w:num w:numId="67">
    <w:abstractNumId w:val="12"/>
  </w:num>
  <w:num w:numId="68">
    <w:abstractNumId w:val="61"/>
  </w:num>
  <w:num w:numId="69">
    <w:abstractNumId w:val="10"/>
  </w:num>
  <w:num w:numId="70">
    <w:abstractNumId w:val="34"/>
  </w:num>
  <w:num w:numId="71">
    <w:abstractNumId w:val="55"/>
  </w:num>
  <w:num w:numId="72">
    <w:abstractNumId w:val="36"/>
  </w:num>
  <w:num w:numId="73">
    <w:abstractNumId w:val="46"/>
  </w:num>
  <w:num w:numId="74">
    <w:abstractNumId w:val="77"/>
  </w:num>
  <w:num w:numId="75">
    <w:abstractNumId w:val="30"/>
  </w:num>
  <w:num w:numId="76">
    <w:abstractNumId w:val="22"/>
  </w:num>
  <w:num w:numId="77">
    <w:abstractNumId w:val="9"/>
  </w:num>
  <w:num w:numId="78">
    <w:abstractNumId w:val="80"/>
  </w:num>
  <w:num w:numId="79">
    <w:abstractNumId w:val="27"/>
  </w:num>
  <w:num w:numId="80">
    <w:abstractNumId w:val="15"/>
  </w:num>
  <w:num w:numId="81">
    <w:abstractNumId w:val="54"/>
  </w:num>
  <w:num w:numId="82">
    <w:abstractNumId w:val="31"/>
  </w:num>
  <w:num w:numId="83">
    <w:abstractNumId w:val="7"/>
  </w:num>
  <w:num w:numId="84">
    <w:abstractNumId w:val="70"/>
  </w:num>
  <w:num w:numId="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6434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3026</Words>
  <Characters>3286</Characters>
  <TotalTime>7</TotalTime>
  <ScaleCrop>false</ScaleCrop>
  <LinksUpToDate>false</LinksUpToDate>
  <CharactersWithSpaces>3390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2026-05-26T06:34:00Z</dcterms:created>
  <dc:creator>Apache POI</dc:creator>
  <cp:lastModifiedBy>四月は君の嘘</cp:lastModifiedBy>
  <dcterms:modified xsi:type="dcterms:W3CDTF">2026-05-26T06:42:50Z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eyJoZGlkIjoiNzMwZDk5ODQ5ZmQyNWRjMGExMDBiMzE0NTYyZGY3M2UiLCJ1c2VySWQiOiI5MjE4MTU0MjAifQ==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E1935357990B4606919BCB232E395EBD_12</vt:lpwstr>
  </property>
</Properties>
</file>