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eastAsia="Times New Roman"/>
          <w:sz w:val="22"/>
        </w:rPr>
        <w:t>Quantum Time-Energy Theory (QTET) is a unified, constraint-driven framework developed by Destiny Machwaya and derived from its First Principle:</w:t>
        <w:br/>
        <w:t>In any closed or semi-closed system, resonance acts as an anchor for coherence to counter entropy.</w:t>
        <w:br/>
        <w:t>From this principle arises the QTL-Sphere, a closed 4D hyperspherical structure composed of nested, tessellated Jakub cubes organized along twelve principal directions and globally aligned to the Echo Meridian, the bidirectional temporal–coherence axis of the system. In QTET, time is resonance-indexed relative to that axis through T = I_res(M_E), traversal is defined by Tensor Form P2, dimensional embedding by Tensor Form P3, and large-scale structure emerges through Resonance Recoil rather than inflationary expansion.</w:t>
      </w:r>
    </w:p>
    <w:p>
      <w:pPr>
        <w:jc w:val="left"/>
      </w:pPr>
      <w:r>
        <w:rPr>
          <w:rFonts w:ascii="Times New Roman" w:hAnsi="Times New Roman" w:eastAsia="Times New Roman"/>
          <w:sz w:val="22"/>
        </w:rPr>
        <w:t>Within this framework, the Echo Meridian is the bidirectional temporal–coherence axis of the QTL-Sphere and the invariant structural reference for coherence, recurrence, and return-to-core behavior. Its form is given by:</w:t>
      </w:r>
    </w:p>
    <w:p>
      <w:pPr>
        <w:jc w:val="center"/>
      </w:pPr>
      <w:r>
        <w:rPr>
          <w:rFonts w:ascii="Times New Roman" w:hAnsi="Times New Roman" w:eastAsia="Times New Roman"/>
          <w:i w:val="0"/>
          <w:sz w:val="22"/>
        </w:rPr>
        <w:t>M_E = axis_coh</w:t>
      </w:r>
    </w:p>
    <w:p>
      <w:pPr>
        <w:jc w:val="center"/>
      </w:pPr>
      <w:r>
        <w:rPr>
          <w:rFonts w:ascii="Times New Roman" w:hAnsi="Times New Roman" w:eastAsia="Times New Roman"/>
          <w:i w:val="0"/>
          <w:sz w:val="22"/>
        </w:rPr>
        <w:t>T = I_res(M_E)</w:t>
      </w:r>
    </w:p>
    <w:p>
      <w:pPr>
        <w:jc w:val="center"/>
      </w:pPr>
      <w:r>
        <w:rPr>
          <w:rFonts w:ascii="Times New Roman" w:hAnsi="Times New Roman" w:eastAsia="Times New Roman"/>
          <w:i w:val="0"/>
          <w:sz w:val="22"/>
        </w:rPr>
        <w:t>∇_(M_E) C = 0</w:t>
      </w:r>
    </w:p>
    <w:p>
      <w:pPr>
        <w:jc w:val="center"/>
      </w:pPr>
      <w:r>
        <w:rPr>
          <w:rFonts w:ascii="Times New Roman" w:hAnsi="Times New Roman" w:eastAsia="Times New Roman"/>
          <w:i w:val="0"/>
          <w:sz w:val="22"/>
        </w:rPr>
        <w:t>Δ = I_res(p not parallel M_E)</w:t>
      </w:r>
    </w:p>
    <w:p>
      <w:pPr>
        <w:jc w:val="left"/>
      </w:pPr>
      <w:r>
        <w:rPr>
          <w:rFonts w:ascii="Times New Roman" w:hAnsi="Times New Roman" w:eastAsia="Times New Roman"/>
          <w:sz w:val="22"/>
        </w:rPr>
        <w:t>Time in QTET is therefore not an independent parameter, but a resonance-indexed temporal ordering relative to the Echo Meridian. Traversal may be quantized, but time itself is not discretized or latticized.</w:t>
      </w:r>
    </w:p>
    <w:p>
      <w:pPr>
        <w:jc w:val="left"/>
      </w:pPr>
      <w:r>
        <w:rPr>
          <w:rFonts w:ascii="Times New Roman" w:hAnsi="Times New Roman" w:eastAsia="Times New Roman"/>
          <w:sz w:val="22"/>
        </w:rPr>
        <w:t>The allowable state traversal of the system is defined by Tensor Form P2:</w:t>
      </w:r>
    </w:p>
    <w:p>
      <w:pPr>
        <w:jc w:val="center"/>
      </w:pPr>
      <w:r>
        <w:rPr>
          <w:rFonts w:ascii="Times New Roman" w:hAnsi="Times New Roman" w:eastAsia="Times New Roman"/>
          <w:i w:val="0"/>
          <w:sz w:val="22"/>
        </w:rPr>
        <w:t>3,3 / 0,0 / 0,1 / 1,2 / 2,1 / 1,0 / 0,0 / Delay(200)</w:t>
      </w:r>
    </w:p>
    <w:p>
      <w:pPr>
        <w:jc w:val="left"/>
      </w:pPr>
      <w:r>
        <w:rPr>
          <w:rFonts w:ascii="Times New Roman" w:hAnsi="Times New Roman" w:eastAsia="Times New Roman"/>
          <w:sz w:val="22"/>
        </w:rPr>
        <w:t>This fixed sequence establishes a bounded traversal space in which coherence is preserved under constraint and functions as an engineered invariant rather than a descriptive abstraction.</w:t>
      </w:r>
    </w:p>
    <w:p>
      <w:pPr>
        <w:jc w:val="left"/>
      </w:pPr>
      <w:r>
        <w:rPr>
          <w:rFonts w:ascii="Times New Roman" w:hAnsi="Times New Roman" w:eastAsia="Times New Roman"/>
          <w:sz w:val="22"/>
        </w:rPr>
        <w:t>The dimensional embedding of that traversal is defined by Tensor Form P3:</w:t>
      </w:r>
    </w:p>
    <w:p>
      <w:pPr>
        <w:jc w:val="center"/>
      </w:pPr>
      <w:r>
        <w:rPr>
          <w:rFonts w:ascii="Times New Roman" w:hAnsi="Times New Roman" w:eastAsia="Times New Roman"/>
          <w:i w:val="0"/>
          <w:sz w:val="22"/>
        </w:rPr>
        <w:t>P3 = [P2_1 ⊗ D_1, P2_2 ⊗ D_2, P2_3 ⊗ D_3]</w:t>
      </w:r>
    </w:p>
    <w:p>
      <w:pPr>
        <w:jc w:val="left"/>
      </w:pPr>
      <w:r>
        <w:rPr>
          <w:rFonts w:ascii="Times New Roman" w:hAnsi="Times New Roman" w:eastAsia="Times New Roman"/>
          <w:sz w:val="22"/>
        </w:rPr>
        <w:t>Together, these forms define the structural basis of the QTL-Sphere, a closed 4D hyperspherical structure composed of nested, tessellated Jakub cubes organized along twelve principal directions and globally aligned to the Echo Meridian.</w:t>
      </w:r>
    </w:p>
    <w:p>
      <w:pPr>
        <w:jc w:val="left"/>
      </w:pPr>
      <w:r>
        <w:rPr>
          <w:rFonts w:ascii="Times New Roman" w:hAnsi="Times New Roman" w:eastAsia="Times New Roman"/>
          <w:sz w:val="22"/>
        </w:rPr>
        <w:t>Large-scale structure in this cosmology does not arise through inflation fields, but through Resonance Recoil, defined as:</w:t>
      </w:r>
    </w:p>
    <w:p>
      <w:pPr>
        <w:jc w:val="left"/>
      </w:pPr>
      <w:r>
        <w:rPr>
          <w:rFonts w:ascii="Times New Roman" w:hAnsi="Times New Roman" w:eastAsia="Times New Roman"/>
          <w:sz w:val="22"/>
        </w:rPr>
        <w:t>An implosive coherence convergence at the critical C/E threshold, followed by differentiation into nested hyperspherical layers, yielding large-scale structure, Long-Distance Coherence Tethers (LDCT), and Persistent Temporal Resonance Axis (TRA).</w:t>
      </w:r>
    </w:p>
    <w:p>
      <w:pPr>
        <w:jc w:val="left"/>
      </w:pPr>
      <w:r>
        <w:rPr>
          <w:rFonts w:ascii="Times New Roman" w:hAnsi="Times New Roman" w:eastAsia="Times New Roman"/>
          <w:sz w:val="22"/>
        </w:rPr>
        <w:t>This is the QTET/QTL-Sphere equivalent of structure formation via coherence anchoring, not inflationary expansion.</w:t>
      </w:r>
    </w:p>
    <w:p>
      <w:pPr>
        <w:jc w:val="left"/>
      </w:pPr>
      <w:r>
        <w:rPr>
          <w:rFonts w:ascii="Times New Roman" w:hAnsi="Times New Roman" w:eastAsia="Times New Roman"/>
          <w:sz w:val="22"/>
        </w:rPr>
        <w:t>QTET is not limited to cosmology alone. The same constraint structure is reflected across engineered systems, biological processes, and material substrates, positioning Tensor Form P2 as an operational bridge between cosmological structure and physically realizable coherence-anchored systems.</w:t>
      </w:r>
    </w:p>
    <w:p>
      <w:pPr>
        <w:jc w:val="left"/>
      </w:pPr>
      <w:r>
        <w:rPr>
          <w:rFonts w:ascii="Times New Roman" w:hAnsi="Times New Roman" w:eastAsia="Times New Roman"/>
          <w:sz w:val="22"/>
        </w:rPr>
        <w:t>Lei A While Research Center is the public-facing research initiative built around the original first-principle scientific work of founder Destiny Machwaya. Its programs span foundational physics, coherence systems, photonic materials, and emerging technologies, all guided by a unified framework of governing laws and protected research development.</w:t>
      </w:r>
    </w:p>
    <w:p>
      <w:pPr>
        <w:jc w:val="left"/>
      </w:pPr>
      <w:r>
        <w:rPr>
          <w:rFonts w:ascii="Times New Roman" w:hAnsi="Times New Roman" w:eastAsia="Times New Roman"/>
          <w:sz w:val="22"/>
        </w:rPr>
        <w:t>The framework is organized around a set of governing laws that define its scientific direction, internal logic, and applied pathway. Some elements are described publicly for scientific orientation and institutional clarity. Additional technical detail remains protected under active publication, trade-secret, and patent-pending boundaries.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