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center"/>
      </w:pPr>
      <w:r>
        <w:rPr>
          <w:rFonts w:ascii="Times New Roman" w:hAnsi="Times New Roman"/>
          <w:b/>
          <w:i w:val="0"/>
          <w:sz w:val="24"/>
        </w:rPr>
        <w:t>Do Machines Remember Like We Do?</w:t>
      </w:r>
    </w:p>
    <w:p>
      <w:pPr>
        <w:jc w:val="center"/>
      </w:pPr>
      <w:r>
        <w:rPr>
          <w:rFonts w:ascii="Times New Roman" w:hAnsi="Times New Roman"/>
          <w:b/>
          <w:i w:val="0"/>
          <w:sz w:val="24"/>
        </w:rPr>
        <w:t>CogBench-RAG: A Cognitive Benchmark for Retrieval-Augmented Generation Systems</w:t>
      </w:r>
    </w:p>
    <w:p>
      <w:pPr>
        <w:jc w:val="center"/>
      </w:pPr>
      <w:r>
        <w:rPr>
          <w:rFonts w:ascii="Times New Roman" w:hAnsi="Times New Roman"/>
          <w:b w:val="0"/>
          <w:i w:val="0"/>
          <w:sz w:val="24"/>
        </w:rPr>
      </w:r>
    </w:p>
    <w:p>
      <w:pPr>
        <w:jc w:val="center"/>
      </w:pPr>
      <w:r>
        <w:rPr>
          <w:rFonts w:ascii="Times New Roman" w:hAnsi="Times New Roman"/>
          <w:b w:val="0"/>
          <w:i w:val="0"/>
          <w:sz w:val="24"/>
        </w:rPr>
        <w:t>Nikhil Saxena</w:t>
      </w:r>
    </w:p>
    <w:p>
      <w:pPr>
        <w:jc w:val="center"/>
      </w:pPr>
      <w:r>
        <w:rPr>
          <w:rFonts w:ascii="Times New Roman" w:hAnsi="Times New Roman"/>
          <w:b w:val="0"/>
          <w:i w:val="0"/>
          <w:sz w:val="24"/>
        </w:rPr>
        <w:t>Northeastern University</w:t>
      </w:r>
    </w:p>
    <w:p>
      <w:pPr>
        <w:jc w:val="center"/>
      </w:pPr>
      <w:r>
        <w:rPr>
          <w:rFonts w:ascii="Times New Roman" w:hAnsi="Times New Roman"/>
          <w:b w:val="0"/>
          <w:i w:val="0"/>
          <w:sz w:val="24"/>
        </w:rPr>
      </w:r>
    </w:p>
    <w:p>
      <w:pPr>
        <w:jc w:val="center"/>
      </w:pPr>
      <w:r>
        <w:rPr>
          <w:rFonts w:ascii="Times New Roman" w:hAnsi="Times New Roman"/>
          <w:b w:val="0"/>
          <w:i w:val="0"/>
          <w:sz w:val="24"/>
        </w:rPr>
      </w:r>
    </w:p>
    <w:p>
      <w:pPr>
        <w:jc w:val="center"/>
      </w:pPr>
      <w:r>
        <w:rPr>
          <w:rFonts w:ascii="Times New Roman" w:hAnsi="Times New Roman"/>
          <w:b/>
          <w:sz w:val="24"/>
        </w:rPr>
        <w:t>Author Note</w:t>
      </w:r>
    </w:p>
    <w:p>
      <w:pPr>
        <w:ind w:firstLine="720"/>
      </w:pPr>
      <w:r>
        <w:rPr>
          <w:rFonts w:ascii="Times New Roman" w:hAnsi="Times New Roman"/>
          <w:sz w:val="24"/>
        </w:rPr>
        <w:t>Nikhil Saxena https://orcid.org/0009-0004-1039-0257</w:t>
      </w:r>
    </w:p>
    <w:p>
      <w:pPr>
        <w:ind w:firstLine="720"/>
      </w:pPr>
      <w:r>
        <w:rPr>
          <w:rFonts w:ascii="Times New Roman" w:hAnsi="Times New Roman"/>
          <w:sz w:val="24"/>
        </w:rPr>
        <w:t>Correspondence concerning this article should be addressed to Nikhil Saxena, Northeastern University, Boston, MA 02115. Email: saxena.ni@northeastern.edu</w:t>
      </w:r>
    </w:p>
    <w:p>
      <w:pPr>
        <w:ind w:firstLine="720"/>
      </w:pPr>
      <w:r>
        <w:rPr>
          <w:rFonts w:ascii="Times New Roman" w:hAnsi="Times New Roman"/>
          <w:sz w:val="24"/>
        </w:rPr>
        <w:t>The author declares no conflicts of interest. This research received no external funding.</w:t>
      </w:r>
    </w:p>
    <w:p>
      <w:r>
        <w:br w:type="page"/>
      </w:r>
    </w:p>
    <w:p>
      <w:pPr>
        <w:jc w:val="center"/>
      </w:pPr>
      <w:r>
        <w:rPr>
          <w:rFonts w:ascii="Times New Roman" w:hAnsi="Times New Roman"/>
          <w:b/>
          <w:sz w:val="24"/>
        </w:rPr>
        <w:t>Abstract</w:t>
      </w:r>
    </w:p>
    <w:p>
      <w:r>
        <w:rPr>
          <w:rFonts w:ascii="Times New Roman" w:hAnsi="Times New Roman"/>
          <w:sz w:val="24"/>
        </w:rP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pPr>
        <w:ind w:firstLine="720"/>
      </w:pPr>
      <w:r>
        <w:rPr>
          <w:rFonts w:ascii="Times New Roman" w:hAnsi="Times New Roman"/>
          <w:i/>
          <w:sz w:val="24"/>
        </w:rPr>
        <w:t xml:space="preserve">Keywords: </w:t>
      </w:r>
      <w:r>
        <w:rPr>
          <w:rFonts w:ascii="Times New Roman" w:hAnsi="Times New Roman"/>
          <w:sz w:val="24"/>
        </w:rPr>
        <w:t>retrieval-augmented generation, cognitive science, human memory, benchmark, encoding specificity, information retrieval</w:t>
      </w:r>
    </w:p>
    <w:p>
      <w:r>
        <w:br w:type="page"/>
      </w:r>
    </w:p>
    <w:p>
      <w:pPr>
        <w:jc w:val="center"/>
      </w:pPr>
      <w:r>
        <w:rPr>
          <w:rFonts w:ascii="Times New Roman" w:hAnsi="Times New Roman"/>
          <w:b/>
          <w:sz w:val="24"/>
        </w:rPr>
        <w:t>Do Machines Remember Like We Do? CogBench-RAG: A Cognitive Benchmark for Retrieval-Augmented Generation Systems</w:t>
      </w:r>
    </w:p>
    <w:p>
      <w:pPr>
        <w:ind w:firstLine="720"/>
      </w:pPr>
      <w:r>
        <w:rPr>
          <w:rFonts w:ascii="Times New Roman" w:hAnsi="Times New Roman"/>
          <w:sz w:val="24"/>
        </w:rP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Gutiérrez et al., 2024). These analogies have practical consequences. Recent systems explicitly draw on neuroscience, with HippoRAG modeling the hippocampal indexing theory of Teyler and Discenna (1986) through knowledge graphs and Personalized PageRank (Gutiérrez et al., 2024), EM-LLM implementing surprise-based episodic segmentation from event cognition research (Fountas et al., 2025; Zacks et al., 2007), and ARM incorporating Ebbinghaus-style memory decay and consolidation (Bursa, 2026; Ebbinghaus, 1885).</w:t>
      </w:r>
    </w:p>
    <w:p>
      <w:pPr>
        <w:ind w:firstLine="720"/>
      </w:pPr>
      <w:r>
        <w:rPr>
          <w:rFonts w:ascii="Times New Roman" w:hAnsi="Times New Roman"/>
          <w:sz w:val="24"/>
        </w:rP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pPr>
        <w:ind w:firstLine="720"/>
      </w:pPr>
      <w:r>
        <w:rPr>
          <w:rFonts w:ascii="Times New Roman" w:hAnsi="Times New Roman"/>
          <w:sz w:val="24"/>
        </w:rPr>
        <w:t>Human memory research offers over a century of rigorously characterized phenomena, from Ebbinghaus's (1885) foundational work on forgetting curves to contemporary models of retrieval-induced forgetting (Anderson et al., 1994). These phenomena are robust, well-quantified,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pPr>
        <w:ind w:firstLine="720"/>
      </w:pPr>
      <w:r>
        <w:rPr>
          <w:rFonts w:ascii="Times New Roman" w:hAnsi="Times New Roman"/>
          <w:sz w:val="24"/>
        </w:rP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Müller &amp; Pilzecker, 1900); (d) serial position effects (Murdock, 1962; Ebbinghaus, 1885); and (e) retrieval-induced forgetting (Anderson et al., 1994).</w:t>
      </w:r>
    </w:p>
    <w:p>
      <w:pPr>
        <w:ind w:firstLine="720"/>
      </w:pPr>
      <w:r>
        <w:rPr>
          <w:rFonts w:ascii="Times New Roman" w:hAnsi="Times New Roman"/>
          <w:sz w:val="24"/>
        </w:rP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pPr>
        <w:ind w:firstLine="720"/>
      </w:pPr>
      <w:r>
        <w:rPr>
          <w:rFonts w:ascii="Times New Roman" w:hAnsi="Times New Roman"/>
          <w:sz w:val="24"/>
        </w:rPr>
        <w:t>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pPr>
        <w:jc w:val="center"/>
      </w:pPr>
      <w:r>
        <w:drawing>
          <wp:inline xmlns:a="http://schemas.openxmlformats.org/drawingml/2006/main" xmlns:pic="http://schemas.openxmlformats.org/drawingml/2006/picture">
            <wp:extent cx="5029200" cy="399237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3992374"/>
                    </a:xfrm>
                    <a:prstGeom prst="rect"/>
                  </pic:spPr>
                </pic:pic>
              </a:graphicData>
            </a:graphic>
          </wp:inline>
        </w:drawing>
      </w:r>
    </w:p>
    <w:p>
      <w:pPr>
        <w:spacing w:after="240"/>
        <w:ind w:firstLine="0"/>
        <w:jc w:val="left"/>
      </w:pPr>
      <w:r>
        <w:rPr>
          <w:rFonts w:ascii="Times New Roman" w:hAnsi="Times New Roman"/>
          <w:i/>
          <w:sz w:val="24"/>
        </w:rPr>
        <w:t>Figure 1.</w:t>
      </w:r>
      <w:r>
        <w:rPr>
          <w:rFonts w:ascii="Times New Roman" w:hAnsi="Times New Roman"/>
          <w:sz w:val="24"/>
        </w:rPr>
        <w:t xml:space="preserve"> CogBench-RAG framework mapping five human memory phenomena to benchmark modules. Each phenomenon is operationalized as a controlled retrieval task, and a Cognitive Alignment Score (CAS) is computed per system per module.</w:t>
      </w:r>
    </w:p>
    <w:p>
      <w:pPr>
        <w:jc w:val="center"/>
      </w:pPr>
      <w:r>
        <w:rPr>
          <w:rFonts w:ascii="Times New Roman" w:hAnsi="Times New Roman"/>
          <w:b/>
          <w:sz w:val="24"/>
        </w:rPr>
        <w:t>Related Work</w:t>
      </w:r>
    </w:p>
    <w:p>
      <w:pPr>
        <w:jc w:val="left"/>
      </w:pPr>
      <w:r>
        <w:rPr>
          <w:rFonts w:ascii="Times New Roman" w:hAnsi="Times New Roman"/>
          <w:b/>
          <w:sz w:val="24"/>
        </w:rPr>
        <w:t>Retrieval-Augmented Generation</w:t>
      </w:r>
    </w:p>
    <w:p>
      <w:pPr>
        <w:ind w:firstLine="720"/>
      </w:pPr>
      <w:r>
        <w:rPr>
          <w:rFonts w:ascii="Times New Roman" w:hAnsi="Times New Roman"/>
          <w:sz w:val="24"/>
        </w:rPr>
        <w:t>RAG was introduced by Lewis et al. (2020), who combined a pre-trained seq2seq model with a dense passage retriever to ground language generation in retrieved evidence. Since then, 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pPr>
        <w:ind w:firstLine="720"/>
      </w:pPr>
      <w:r>
        <w:rPr>
          <w:rFonts w:ascii="Times New Roman" w:hAnsi="Times New Roman"/>
          <w:sz w:val="24"/>
        </w:rPr>
        <w:t>Recent work has moved toward cognitively-inspired architectures. HippoRAG (Gutiérrez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pPr>
        <w:jc w:val="left"/>
      </w:pPr>
      <w:r>
        <w:rPr>
          <w:rFonts w:ascii="Times New Roman" w:hAnsi="Times New Roman"/>
          <w:b/>
          <w:sz w:val="24"/>
        </w:rPr>
        <w:t>Retrieval Benchmarks</w:t>
      </w:r>
    </w:p>
    <w:p>
      <w:pPr>
        <w:ind w:firstLine="720"/>
      </w:pPr>
      <w:r>
        <w:rPr>
          <w:rFonts w:ascii="Times New Roman" w:hAnsi="Times New Roman"/>
          <w:sz w:val="24"/>
        </w:rPr>
        <w:t>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question: whether a system's retrieval behavior exhibits specific patterns predicted by cognitive theory, independent of its performance on any particular downstream task.</w:t>
      </w:r>
    </w:p>
    <w:p>
      <w:pPr>
        <w:jc w:val="left"/>
      </w:pPr>
      <w:r>
        <w:rPr>
          <w:rFonts w:ascii="Times New Roman" w:hAnsi="Times New Roman"/>
          <w:b/>
          <w:sz w:val="24"/>
        </w:rPr>
        <w:t>Cognitive Evaluation of AI Systems</w:t>
      </w:r>
    </w:p>
    <w:p>
      <w:pPr>
        <w:ind w:firstLine="720"/>
      </w:pPr>
      <w:r>
        <w:rPr>
          <w:rFonts w:ascii="Times New Roman" w:hAnsi="Times New Roman"/>
          <w:sz w:val="24"/>
        </w:rP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pPr>
        <w:ind w:firstLine="720"/>
      </w:pPr>
      <w:r>
        <w:rPr>
          <w:rFonts w:ascii="Times New Roman" w:hAnsi="Times New Roman"/>
          <w:sz w:val="24"/>
        </w:rPr>
        <w:t>This work has focused on language model generation behavior. CogBench-RAG applies the same approach to the retrieval stage, testing whether systems that supply information to LLMs exhibit their own cognitive patterns.</w:t>
      </w:r>
    </w:p>
    <w:p>
      <w:pPr>
        <w:jc w:val="left"/>
      </w:pPr>
      <w:r>
        <w:rPr>
          <w:rFonts w:ascii="Times New Roman" w:hAnsi="Times New Roman"/>
          <w:b/>
          <w:sz w:val="24"/>
        </w:rPr>
        <w:t>Memory and Retrieval in Cognitive Science</w:t>
      </w:r>
    </w:p>
    <w:p>
      <w:pPr>
        <w:ind w:firstLine="720"/>
      </w:pPr>
      <w:r>
        <w:rPr>
          <w:rFonts w:ascii="Times New Roman" w:hAnsi="Times New Roman"/>
          <w:sz w:val="24"/>
        </w:rPr>
        <w:t>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Müller and Pilzecker (1900), with the retroactive-exceeds-proactive asymmetry consistently replicated (Wixted, 2004; Kliegl &amp; Bäuml, 2021; Postman &amp; Underwood, 1973; McGeoch, 1932). Serial position effects (Murdock, 1962) arise from differential rehearsal (Rundus, 1971) and recency of activation in working memory (Glanzer &amp; Cunitz, 1966; Atkinson &amp; Shiffrin, 1968). Retrieval-induced forgetting (Anderson et al., 1994; Anderson, 2003) has been confirmed via meta-analysis across over 200 experiments (Murayama et al., 2014).</w:t>
      </w:r>
    </w:p>
    <w:p>
      <w:pPr>
        <w:jc w:val="center"/>
      </w:pPr>
      <w:r>
        <w:rPr>
          <w:rFonts w:ascii="Times New Roman" w:hAnsi="Times New Roman"/>
          <w:b/>
          <w:sz w:val="24"/>
        </w:rPr>
        <w:t>Method</w:t>
      </w:r>
    </w:p>
    <w:p>
      <w:pPr>
        <w:jc w:val="left"/>
      </w:pPr>
      <w:r>
        <w:rPr>
          <w:rFonts w:ascii="Times New Roman" w:hAnsi="Times New Roman"/>
          <w:b/>
          <w:sz w:val="24"/>
        </w:rPr>
        <w:t>Overview</w:t>
      </w:r>
    </w:p>
    <w:p>
      <w:pPr>
        <w:ind w:firstLine="720"/>
      </w:pPr>
      <w:r>
        <w:rPr>
          <w:rFonts w:ascii="Times New Roman" w:hAnsi="Times New Roman"/>
          <w:sz w:val="24"/>
        </w:rP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pPr>
        <w:jc w:val="left"/>
      </w:pPr>
      <w:r>
        <w:rPr>
          <w:rFonts w:ascii="Times New Roman" w:hAnsi="Times New Roman"/>
          <w:b/>
          <w:sz w:val="24"/>
        </w:rPr>
        <w:t>Systems Under Test</w:t>
      </w:r>
    </w:p>
    <w:p>
      <w:pPr>
        <w:ind w:firstLine="720"/>
      </w:pPr>
      <w:r>
        <w:rPr>
          <w:rFonts w:ascii="Times New Roman" w:hAnsi="Times New Roman"/>
          <w:sz w:val="24"/>
        </w:rP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pPr>
        <w:ind w:firstLine="720"/>
      </w:pPr>
      <w:r>
        <w:rPr>
          <w:rFonts w:ascii="Times New Roman" w:hAnsi="Times New Roman"/>
          <w:sz w:val="24"/>
        </w:rP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pPr>
        <w:jc w:val="left"/>
      </w:pPr>
      <w:r>
        <w:rPr>
          <w:rFonts w:ascii="Times New Roman" w:hAnsi="Times New Roman"/>
          <w:b/>
          <w:sz w:val="24"/>
        </w:rPr>
        <w:t>Module 1: Encoding Specificity</w:t>
      </w:r>
    </w:p>
    <w:p>
      <w:pPr>
        <w:ind w:firstLine="720"/>
      </w:pPr>
      <w:r>
        <w:rPr>
          <w:rFonts w:ascii="Times New Roman" w:hAnsi="Times New Roman"/>
          <w:sz w:val="24"/>
        </w:rP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pPr>
        <w:ind w:firstLine="720"/>
      </w:pPr>
      <w:r>
        <w:rPr>
          <w:rFonts w:ascii="Times New Roman" w:hAnsi="Times New Roman"/>
          <w:sz w:val="24"/>
        </w:rP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pPr>
        <w:jc w:val="left"/>
      </w:pPr>
      <w:r>
        <w:rPr>
          <w:rFonts w:ascii="Times New Roman" w:hAnsi="Times New Roman"/>
          <w:b/>
          <w:sz w:val="24"/>
        </w:rPr>
        <w:t>Module 2: Fan Effect</w:t>
      </w:r>
    </w:p>
    <w:p>
      <w:pPr>
        <w:ind w:firstLine="720"/>
      </w:pPr>
      <w:r>
        <w:rPr>
          <w:rFonts w:ascii="Times New Roman" w:hAnsi="Times New Roman"/>
          <w:sz w:val="24"/>
        </w:rP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pPr>
        <w:jc w:val="left"/>
      </w:pPr>
      <w:r>
        <w:rPr>
          <w:rFonts w:ascii="Times New Roman" w:hAnsi="Times New Roman"/>
          <w:b/>
          <w:sz w:val="24"/>
        </w:rPr>
        <w:t>Module 3: Interference</w:t>
      </w:r>
    </w:p>
    <w:p>
      <w:pPr>
        <w:ind w:firstLine="720"/>
      </w:pPr>
      <w:r>
        <w:rPr>
          <w:rFonts w:ascii="Times New Roman" w:hAnsi="Times New Roman"/>
          <w:sz w:val="24"/>
        </w:rPr>
        <w:t>Interference theory has been central to understanding forgetting since Müller and Pilzecker (1900). The retroactive-exceeds-proactive asymmetry is a consistent finding (Wixted, 2004; Kliegl &amp; Bäuml, 2021), and interference is modulated by similarity (McGeoch, 1932; Osgood, 1949). Six entities each have two documents representing sequential phases, with four control entities appearing in only one phase. Queries use generic shared attributes analogous to the A-B, A-C paired-associate paradigm (Barnes &amp; Underwood, 1959), yielding 32 queries.</w:t>
      </w:r>
    </w:p>
    <w:p>
      <w:pPr>
        <w:jc w:val="left"/>
      </w:pPr>
      <w:r>
        <w:rPr>
          <w:rFonts w:ascii="Times New Roman" w:hAnsi="Times New Roman"/>
          <w:b/>
          <w:sz w:val="24"/>
        </w:rPr>
        <w:t>Modules 4 and 5: Serial Position and Retrieval-Induced Forgetting</w:t>
      </w:r>
    </w:p>
    <w:p>
      <w:pPr>
        <w:ind w:firstLine="720"/>
      </w:pPr>
      <w:r>
        <w:rPr>
          <w:rFonts w:ascii="Times New Roman" w:hAnsi="Times New Roman"/>
          <w:sz w:val="24"/>
        </w:rP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pPr>
        <w:jc w:val="left"/>
      </w:pPr>
      <w:r>
        <w:rPr>
          <w:rFonts w:ascii="Times New Roman" w:hAnsi="Times New Roman"/>
          <w:b/>
          <w:sz w:val="24"/>
        </w:rPr>
        <w:t>Cognitive Alignment Score</w:t>
      </w:r>
    </w:p>
    <w:p>
      <w:pPr>
        <w:ind w:firstLine="720"/>
      </w:pPr>
      <w:r>
        <w:rPr>
          <w:rFonts w:ascii="Times New Roman" w:hAnsi="Times New Roman"/>
          <w:sz w:val="24"/>
        </w:rP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pPr>
        <w:jc w:val="center"/>
      </w:pPr>
      <w:r>
        <w:rPr>
          <w:rFonts w:ascii="Times New Roman" w:hAnsi="Times New Roman"/>
          <w:b/>
          <w:sz w:val="24"/>
        </w:rPr>
        <w:t>Results</w:t>
      </w:r>
    </w:p>
    <w:p>
      <w:pPr>
        <w:jc w:val="center"/>
      </w:pPr>
      <w:r>
        <w:drawing>
          <wp:inline xmlns:a="http://schemas.openxmlformats.org/drawingml/2006/main" xmlns:pic="http://schemas.openxmlformats.org/drawingml/2006/picture">
            <wp:extent cx="5486400" cy="252002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20024"/>
                    </a:xfrm>
                    <a:prstGeom prst="rect"/>
                  </pic:spPr>
                </pic:pic>
              </a:graphicData>
            </a:graphic>
          </wp:inline>
        </w:drawing>
      </w:r>
    </w:p>
    <w:p>
      <w:pPr>
        <w:spacing w:after="240"/>
        <w:ind w:firstLine="0"/>
        <w:jc w:val="left"/>
      </w:pPr>
      <w:r>
        <w:rPr>
          <w:rFonts w:ascii="Times New Roman" w:hAnsi="Times New Roman"/>
          <w:i/>
          <w:sz w:val="24"/>
        </w:rPr>
        <w:t>Figure 2.</w:t>
      </w:r>
      <w:r>
        <w:rPr>
          <w:rFonts w:ascii="Times New Roman" w:hAnsi="Times New Roman"/>
          <w:sz w:val="24"/>
        </w:rP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pPr>
        <w:jc w:val="left"/>
      </w:pPr>
      <w:r>
        <w:rPr>
          <w:rFonts w:ascii="Times New Roman" w:hAnsi="Times New Roman"/>
          <w:b/>
          <w:sz w:val="24"/>
        </w:rPr>
        <w:t>Encoding Specificity</w:t>
      </w:r>
    </w:p>
    <w:p>
      <w:pPr>
        <w:ind w:firstLine="720"/>
      </w:pPr>
      <w:r>
        <w:rPr>
          <w:rFonts w:ascii="Times New Roman" w:hAnsi="Times New Roman"/>
          <w:sz w:val="24"/>
        </w:rP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pPr>
        <w:ind w:firstLine="720"/>
      </w:pPr>
      <w:r>
        <w:rPr>
          <w:rFonts w:ascii="Times New Roman" w:hAnsi="Times New Roman"/>
          <w:sz w:val="24"/>
        </w:rPr>
        <w:t>Dense retrieval also showed encoding specificity but with partial bridging of the contextual gap. Context-matched queries achieved perfect retrieval (MRR = 1.000), while context-mismatched queries performed above the unrelated baseline (mismatch MRR = 0.410, unrelated MRR = 0.101). Dense retrieval captures semantic overlap between domain-mismatched descriptions of the same phenomenon that BM25 cannot access.</w:t>
      </w:r>
    </w:p>
    <w:p>
      <w:pPr>
        <w:ind w:firstLine="720"/>
      </w:pPr>
      <w:r>
        <w:rPr>
          <w:rFonts w:ascii="Times New Roman" w:hAnsi="Times New Roman"/>
          <w:sz w:val="24"/>
        </w:rP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pPr>
        <w:jc w:val="center"/>
      </w:pPr>
      <w:r>
        <w:drawing>
          <wp:inline xmlns:a="http://schemas.openxmlformats.org/drawingml/2006/main" xmlns:pic="http://schemas.openxmlformats.org/drawingml/2006/picture">
            <wp:extent cx="5486400" cy="28824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82415"/>
                    </a:xfrm>
                    <a:prstGeom prst="rect"/>
                  </pic:spPr>
                </pic:pic>
              </a:graphicData>
            </a:graphic>
          </wp:inline>
        </w:drawing>
      </w:r>
    </w:p>
    <w:p>
      <w:pPr>
        <w:spacing w:after="240"/>
        <w:ind w:firstLine="0"/>
        <w:jc w:val="left"/>
      </w:pPr>
      <w:r>
        <w:rPr>
          <w:rFonts w:ascii="Times New Roman" w:hAnsi="Times New Roman"/>
          <w:i/>
          <w:sz w:val="24"/>
        </w:rPr>
        <w:t>Figure 3.</w:t>
      </w:r>
      <w:r>
        <w:rPr>
          <w:rFonts w:ascii="Times New Roman" w:hAnsi="Times New Roman"/>
          <w:sz w:val="24"/>
        </w:rP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pPr>
        <w:jc w:val="left"/>
      </w:pPr>
      <w:r>
        <w:rPr>
          <w:rFonts w:ascii="Times New Roman" w:hAnsi="Times New Roman"/>
          <w:b/>
          <w:sz w:val="24"/>
        </w:rPr>
        <w:t>Fan Effect</w:t>
      </w:r>
    </w:p>
    <w:p>
      <w:pPr>
        <w:ind w:firstLine="720"/>
      </w:pPr>
      <w:r>
        <w:rPr>
          <w:rFonts w:ascii="Times New Roman" w:hAnsi="Times New Roman"/>
          <w:sz w:val="24"/>
        </w:rP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pPr>
        <w:ind w:firstLine="720"/>
      </w:pPr>
      <w:r>
        <w:rPr>
          <w:rFonts w:ascii="Times New Roman" w:hAnsi="Times New Roman"/>
          <w:sz w:val="24"/>
        </w:rP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pPr>
        <w:jc w:val="center"/>
      </w:pPr>
      <w:r>
        <w:drawing>
          <wp:inline xmlns:a="http://schemas.openxmlformats.org/drawingml/2006/main" xmlns:pic="http://schemas.openxmlformats.org/drawingml/2006/picture">
            <wp:extent cx="5486400" cy="341309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486400" cy="3413090"/>
                    </a:xfrm>
                    <a:prstGeom prst="rect"/>
                  </pic:spPr>
                </pic:pic>
              </a:graphicData>
            </a:graphic>
          </wp:inline>
        </w:drawing>
      </w:r>
    </w:p>
    <w:p>
      <w:pPr>
        <w:spacing w:after="240"/>
        <w:ind w:firstLine="0"/>
        <w:jc w:val="left"/>
      </w:pPr>
      <w:r>
        <w:rPr>
          <w:rFonts w:ascii="Times New Roman" w:hAnsi="Times New Roman"/>
          <w:i/>
          <w:sz w:val="24"/>
        </w:rPr>
        <w:t>Figure 4.</w:t>
      </w:r>
      <w:r>
        <w:rPr>
          <w:rFonts w:ascii="Times New Roman" w:hAnsi="Times New Roman"/>
          <w:sz w:val="24"/>
        </w:rPr>
        <w:t xml:space="preserve"> Fan effect: retrieval accuracy (MRR) versus associative fan size. Both BM25 and dense retrieval show the human-like pattern of decreasing accuracy with increasing fan. The trend line shows the overall decreasing relationship; BM25 operates at higher absolute MRR due to lexical precision on the synthetic corpus.</w:t>
      </w:r>
    </w:p>
    <w:p>
      <w:pPr>
        <w:jc w:val="left"/>
      </w:pPr>
      <w:r>
        <w:rPr>
          <w:rFonts w:ascii="Times New Roman" w:hAnsi="Times New Roman"/>
          <w:b/>
          <w:sz w:val="24"/>
        </w:rPr>
        <w:t>Interference</w:t>
      </w:r>
    </w:p>
    <w:p>
      <w:pPr>
        <w:ind w:firstLine="720"/>
      </w:pPr>
      <w:r>
        <w:rPr>
          <w:rFonts w:ascii="Times New Roman" w:hAnsi="Times New Roman"/>
          <w:sz w:val="24"/>
        </w:rPr>
        <w:t>Both systems exhibited proactive and retroactive interference, with an asymmetry matching the human pattern (Figure 5). Control entities, appearing in only one phase, achieved perfect retrieval (MRR = 1.000 for both systems).</w:t>
      </w:r>
    </w:p>
    <w:p>
      <w:pPr>
        <w:ind w:firstLine="720"/>
      </w:pPr>
      <w:r>
        <w:rPr>
          <w:rFonts w:ascii="Times New Roman" w:hAnsi="Times New Roman"/>
          <w:sz w:val="24"/>
        </w:rP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pPr>
        <w:ind w:firstLine="720"/>
      </w:pPr>
      <w:r>
        <w:rPr>
          <w:rFonts w:ascii="Times New Roman" w:hAnsi="Times New Roman"/>
          <w:sz w:val="24"/>
        </w:rP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pPr>
        <w:ind w:firstLine="720"/>
      </w:pPr>
      <w:r>
        <w:rPr>
          <w:rFonts w:ascii="Times New Roman" w:hAnsi="Times New Roman"/>
          <w:sz w:val="24"/>
        </w:rPr>
        <w:t>BM25 showed stronger interference overall (CAS = 0.72) than dense retrieval (CAS = 0.58), consistent with greater susceptibility to competition from lexically overlapping content.</w:t>
      </w:r>
    </w:p>
    <w:p>
      <w:pPr>
        <w:jc w:val="center"/>
      </w:pPr>
      <w:r>
        <w:drawing>
          <wp:inline xmlns:a="http://schemas.openxmlformats.org/drawingml/2006/main" xmlns:pic="http://schemas.openxmlformats.org/drawingml/2006/picture">
            <wp:extent cx="5486400" cy="2877112"/>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486400" cy="2877112"/>
                    </a:xfrm>
                    <a:prstGeom prst="rect"/>
                  </pic:spPr>
                </pic:pic>
              </a:graphicData>
            </a:graphic>
          </wp:inline>
        </w:drawing>
      </w:r>
    </w:p>
    <w:p>
      <w:pPr>
        <w:spacing w:after="240"/>
        <w:ind w:firstLine="0"/>
        <w:jc w:val="left"/>
      </w:pPr>
      <w:r>
        <w:rPr>
          <w:rFonts w:ascii="Times New Roman" w:hAnsi="Times New Roman"/>
          <w:i/>
          <w:sz w:val="24"/>
        </w:rPr>
        <w:t>Figure 5.</w:t>
      </w:r>
      <w:r>
        <w:rPr>
          <w:rFonts w:ascii="Times New Roman" w:hAnsi="Times New Roman"/>
          <w:sz w:val="24"/>
        </w:rP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pPr>
        <w:jc w:val="left"/>
      </w:pPr>
      <w:r>
        <w:rPr>
          <w:rFonts w:ascii="Times New Roman" w:hAnsi="Times New Roman"/>
          <w:b/>
          <w:sz w:val="24"/>
        </w:rPr>
        <w:t>Serial Position</w:t>
      </w:r>
    </w:p>
    <w:p>
      <w:pPr>
        <w:ind w:firstLine="720"/>
      </w:pPr>
      <w:r>
        <w:rPr>
          <w:rFonts w:ascii="Times New Roman" w:hAnsi="Times New Roman"/>
          <w:sz w:val="24"/>
        </w:rP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pPr>
        <w:ind w:firstLine="720"/>
      </w:pPr>
      <w:r>
        <w:rPr>
          <w:rFonts w:ascii="Times New Roman" w:hAnsi="Times New Roman"/>
          <w:sz w:val="24"/>
        </w:rPr>
        <w:t>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Mitigation efforts should therefore focus on the generation stage, such as passage reordering or position-aware attention (Peysakhovich &amp; Lerer, 2023), rather than retrieval modification.</w:t>
      </w:r>
    </w:p>
    <w:p>
      <w:pPr>
        <w:jc w:val="left"/>
      </w:pPr>
      <w:r>
        <w:rPr>
          <w:rFonts w:ascii="Times New Roman" w:hAnsi="Times New Roman"/>
          <w:b/>
          <w:sz w:val="24"/>
        </w:rPr>
        <w:t>Retrieval-Induced Forgetting</w:t>
      </w:r>
    </w:p>
    <w:p>
      <w:pPr>
        <w:ind w:firstLine="720"/>
      </w:pPr>
      <w:r>
        <w:rPr>
          <w:rFonts w:ascii="Times New Roman" w:hAnsi="Times New Roman"/>
          <w:sz w:val="24"/>
        </w:rP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pPr>
        <w:jc w:val="left"/>
      </w:pPr>
      <w:r>
        <w:rPr>
          <w:rFonts w:ascii="Times New Roman" w:hAnsi="Times New Roman"/>
          <w:b/>
          <w:sz w:val="24"/>
        </w:rPr>
        <w:t>Summary</w:t>
      </w:r>
    </w:p>
    <w:p>
      <w:pPr>
        <w:ind w:firstLine="720"/>
      </w:pPr>
      <w:r>
        <w:rPr>
          <w:rFonts w:ascii="Times New Roman" w:hAnsi="Times New Roman"/>
          <w:sz w:val="24"/>
        </w:rP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pPr>
        <w:jc w:val="center"/>
      </w:pPr>
      <w:r>
        <w:drawing>
          <wp:inline xmlns:a="http://schemas.openxmlformats.org/drawingml/2006/main" xmlns:pic="http://schemas.openxmlformats.org/drawingml/2006/picture">
            <wp:extent cx="5486400" cy="3099856"/>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486400" cy="3099856"/>
                    </a:xfrm>
                    <a:prstGeom prst="rect"/>
                  </pic:spPr>
                </pic:pic>
              </a:graphicData>
            </a:graphic>
          </wp:inline>
        </w:drawing>
      </w:r>
    </w:p>
    <w:p>
      <w:pPr>
        <w:spacing w:after="240"/>
        <w:ind w:firstLine="0"/>
        <w:jc w:val="left"/>
      </w:pPr>
      <w:r>
        <w:rPr>
          <w:rFonts w:ascii="Times New Roman" w:hAnsi="Times New Roman"/>
          <w:i/>
          <w:sz w:val="24"/>
        </w:rPr>
        <w:t>Figure 6.</w:t>
      </w:r>
      <w:r>
        <w:rPr>
          <w:rFonts w:ascii="Times New Roman" w:hAnsi="Times New Roman"/>
          <w:sz w:val="24"/>
        </w:rP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pPr>
        <w:jc w:val="center"/>
      </w:pPr>
      <w:r>
        <w:rPr>
          <w:rFonts w:ascii="Times New Roman" w:hAnsi="Times New Roman"/>
          <w:b/>
          <w:sz w:val="24"/>
        </w:rPr>
        <w:t>Discussion</w:t>
      </w:r>
    </w:p>
    <w:p>
      <w:pPr>
        <w:jc w:val="left"/>
      </w:pPr>
      <w:r>
        <w:rPr>
          <w:rFonts w:ascii="Times New Roman" w:hAnsi="Times New Roman"/>
          <w:b/>
          <w:sz w:val="24"/>
        </w:rPr>
        <w:t>Selective Cognitive Alignment</w:t>
      </w:r>
    </w:p>
    <w:p>
      <w:pPr>
        <w:ind w:firstLine="720"/>
      </w:pPr>
      <w:r>
        <w:rPr>
          <w:rFonts w:ascii="Times New Roman" w:hAnsi="Times New Roman"/>
          <w:sz w:val="24"/>
        </w:rPr>
        <w:t>The results suggest that RAG retrieval systems exhibit a specific subset of human memory phenomena, namely those arising from competition during retrieval, while being unaffected by phenomena arising from temporal dynamics and practice-dependent plasticity.</w:t>
      </w:r>
    </w:p>
    <w:p>
      <w:pPr>
        <w:ind w:firstLine="720"/>
      </w:pPr>
      <w:r>
        <w:rPr>
          <w:rFonts w:ascii="Times New Roman" w:hAnsi="Times New Roman"/>
          <w:sz w:val="24"/>
        </w:rP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pPr>
        <w:ind w:firstLine="720"/>
      </w:pPr>
      <w:r>
        <w:rPr>
          <w:rFonts w:ascii="Times New Roman" w:hAnsi="Times New Roman"/>
          <w:sz w:val="24"/>
        </w:rPr>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pPr>
        <w:jc w:val="left"/>
      </w:pPr>
      <w:r>
        <w:rPr>
          <w:rFonts w:ascii="Times New Roman" w:hAnsi="Times New Roman"/>
          <w:b/>
          <w:sz w:val="24"/>
        </w:rPr>
        <w:t>Architectural Differences</w:t>
      </w:r>
    </w:p>
    <w:p>
      <w:pPr>
        <w:ind w:firstLine="720"/>
      </w:pPr>
      <w:r>
        <w:rPr>
          <w:rFonts w:ascii="Times New Roman" w:hAnsi="Times New Roman"/>
          <w:sz w:val="24"/>
        </w:rP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pPr>
        <w:ind w:firstLine="720"/>
      </w:pPr>
      <w:r>
        <w:rPr>
          <w:rFonts w:ascii="Times New Roman" w:hAnsi="Times New Roman"/>
          <w:sz w:val="24"/>
        </w:rP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pPr>
        <w:jc w:val="left"/>
      </w:pPr>
      <w:r>
        <w:rPr>
          <w:rFonts w:ascii="Times New Roman" w:hAnsi="Times New Roman"/>
          <w:b/>
          <w:sz w:val="24"/>
        </w:rPr>
        <w:t>Implications for Cognitively-Inspired Design</w:t>
      </w:r>
    </w:p>
    <w:p>
      <w:pPr>
        <w:ind w:firstLine="720"/>
      </w:pPr>
      <w:r>
        <w:rPr>
          <w:rFonts w:ascii="Times New Roman" w:hAnsi="Times New Roman"/>
          <w:sz w:val="24"/>
        </w:rPr>
        <w:t>For systems like HippoRAG (Gutiérrez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pPr>
        <w:jc w:val="left"/>
      </w:pPr>
      <w:r>
        <w:rPr>
          <w:rFonts w:ascii="Times New Roman" w:hAnsi="Times New Roman"/>
          <w:b/>
          <w:sz w:val="24"/>
        </w:rPr>
        <w:t>Limitations</w:t>
      </w:r>
    </w:p>
    <w:p>
      <w:pPr>
        <w:ind w:firstLine="720"/>
      </w:pPr>
      <w:r>
        <w:rPr>
          <w:rFonts w:ascii="Times New Roman" w:hAnsi="Times New Roman"/>
          <w:sz w:val="24"/>
        </w:rPr>
        <w:t>Several limitations should be noted. First, the controlled synthetic corpus provides experimental precision but limited ecological validity; naturalistic corpus validation is needed. Second, we evaluate two architectures; hybrid, graph-based (Gutiérrez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pPr>
        <w:jc w:val="left"/>
      </w:pPr>
      <w:r>
        <w:rPr>
          <w:rFonts w:ascii="Times New Roman" w:hAnsi="Times New Roman"/>
          <w:b/>
          <w:sz w:val="24"/>
        </w:rPr>
        <w:t>Future Work</w:t>
      </w:r>
    </w:p>
    <w:p>
      <w:pPr>
        <w:ind w:firstLine="720"/>
      </w:pPr>
      <w:r>
        <w:rPr>
          <w:rFonts w:ascii="Times New Roman" w:hAnsi="Times New Roman"/>
          <w:sz w:val="24"/>
        </w:rP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pPr>
        <w:jc w:val="center"/>
      </w:pPr>
      <w:r>
        <w:rPr>
          <w:rFonts w:ascii="Times New Roman" w:hAnsi="Times New Roman"/>
          <w:b/>
          <w:sz w:val="24"/>
        </w:rPr>
        <w:t>Conclusion</w:t>
      </w:r>
    </w:p>
    <w:p>
      <w:pPr>
        <w:ind w:firstLine="720"/>
      </w:pPr>
      <w:r>
        <w:rPr>
          <w:rFonts w:ascii="Times New Roman" w:hAnsi="Times New Roman"/>
          <w:sz w:val="24"/>
        </w:rPr>
        <w:t>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pPr>
        <w:jc w:val="center"/>
      </w:pPr>
      <w:r>
        <w:rPr>
          <w:rFonts w:ascii="Times New Roman" w:hAnsi="Times New Roman"/>
          <w:b/>
          <w:sz w:val="24"/>
        </w:rPr>
        <w:t>Open Practices Statement</w:t>
      </w:r>
    </w:p>
    <w:p>
      <w:pPr>
        <w:ind w:firstLine="720"/>
      </w:pPr>
      <w:r>
        <w:rPr>
          <w:rFonts w:ascii="Times New Roman" w:hAnsi="Times New Roman"/>
          <w:sz w:val="24"/>
        </w:rPr>
        <w:t>All code, data, and materials for this study are publicly available at https://github.com/DestrierStudios/cogbench-rag under an MIT license. The benchmark runs in a Docker container for full reproducibility. No human participants were involved in this research.</w:t>
      </w:r>
    </w:p>
    <w:p>
      <w:pPr>
        <w:jc w:val="center"/>
      </w:pPr>
      <w:r>
        <w:rPr>
          <w:rFonts w:ascii="Times New Roman" w:hAnsi="Times New Roman"/>
          <w:b/>
          <w:sz w:val="24"/>
        </w:rPr>
        <w:t>Data Availability Statement</w:t>
      </w:r>
    </w:p>
    <w:p>
      <w:pPr>
        <w:ind w:firstLine="720"/>
      </w:pPr>
      <w:r>
        <w:rPr>
          <w:rFonts w:ascii="Times New Roman" w:hAnsi="Times New Roman"/>
          <w:sz w:val="24"/>
        </w:rPr>
        <w:t>All data generated during this study are available in the public GitHub repository at https://github.com/DestrierStudios/cogbench-rag. The repository includes all synthetic corpora, query sets, benchmark code, and result files required to reproduce the reported findings.</w:t>
      </w:r>
    </w:p>
    <w:p>
      <w:pPr>
        <w:jc w:val="center"/>
      </w:pPr>
      <w:r>
        <w:rPr>
          <w:rFonts w:ascii="Times New Roman" w:hAnsi="Times New Roman"/>
          <w:b/>
          <w:sz w:val="24"/>
        </w:rPr>
        <w:t>Declarations</w:t>
      </w:r>
    </w:p>
    <w:p>
      <w:pPr>
        <w:ind w:firstLine="0"/>
      </w:pPr>
      <w:r>
        <w:rPr>
          <w:rFonts w:ascii="Times New Roman" w:hAnsi="Times New Roman"/>
          <w:b/>
          <w:sz w:val="24"/>
        </w:rPr>
        <w:t xml:space="preserve">Funding </w:t>
      </w:r>
      <w:r>
        <w:rPr>
          <w:rFonts w:ascii="Times New Roman" w:hAnsi="Times New Roman"/>
          <w:sz w:val="24"/>
        </w:rPr>
        <w:t>Not applicable.</w:t>
      </w:r>
    </w:p>
    <w:p>
      <w:pPr>
        <w:ind w:firstLine="0"/>
      </w:pPr>
      <w:r>
        <w:rPr>
          <w:rFonts w:ascii="Times New Roman" w:hAnsi="Times New Roman"/>
          <w:b/>
          <w:sz w:val="24"/>
        </w:rPr>
        <w:t xml:space="preserve">Conflicts of interest/Competing interests </w:t>
      </w:r>
      <w:r>
        <w:rPr>
          <w:rFonts w:ascii="Times New Roman" w:hAnsi="Times New Roman"/>
          <w:sz w:val="24"/>
        </w:rPr>
        <w:t>The author declares no conflicts of interest.</w:t>
      </w:r>
    </w:p>
    <w:p>
      <w:pPr>
        <w:ind w:firstLine="0"/>
      </w:pPr>
      <w:r>
        <w:rPr>
          <w:rFonts w:ascii="Times New Roman" w:hAnsi="Times New Roman"/>
          <w:b/>
          <w:sz w:val="24"/>
        </w:rPr>
        <w:t xml:space="preserve">Ethics approval </w:t>
      </w:r>
      <w:r>
        <w:rPr>
          <w:rFonts w:ascii="Times New Roman" w:hAnsi="Times New Roman"/>
          <w:sz w:val="24"/>
        </w:rPr>
        <w:t>Not applicable. No human or animal subjects were involved in this research.</w:t>
      </w:r>
    </w:p>
    <w:p>
      <w:pPr>
        <w:ind w:firstLine="0"/>
      </w:pPr>
      <w:r>
        <w:rPr>
          <w:rFonts w:ascii="Times New Roman" w:hAnsi="Times New Roman"/>
          <w:b/>
          <w:sz w:val="24"/>
        </w:rPr>
        <w:t xml:space="preserve">Consent to participate </w:t>
      </w:r>
      <w:r>
        <w:rPr>
          <w:rFonts w:ascii="Times New Roman" w:hAnsi="Times New Roman"/>
          <w:sz w:val="24"/>
        </w:rPr>
        <w:t>Not applicable.</w:t>
      </w:r>
    </w:p>
    <w:p>
      <w:pPr>
        <w:ind w:firstLine="0"/>
      </w:pPr>
      <w:r>
        <w:rPr>
          <w:rFonts w:ascii="Times New Roman" w:hAnsi="Times New Roman"/>
          <w:b/>
          <w:sz w:val="24"/>
        </w:rPr>
        <w:t xml:space="preserve">Consent for publication </w:t>
      </w:r>
      <w:r>
        <w:rPr>
          <w:rFonts w:ascii="Times New Roman" w:hAnsi="Times New Roman"/>
          <w:sz w:val="24"/>
        </w:rPr>
        <w:t>Not applicable.</w:t>
      </w:r>
    </w:p>
    <w:p>
      <w:pPr>
        <w:ind w:firstLine="0"/>
      </w:pPr>
      <w:r>
        <w:rPr>
          <w:rFonts w:ascii="Times New Roman" w:hAnsi="Times New Roman"/>
          <w:b/>
          <w:sz w:val="24"/>
        </w:rPr>
        <w:t xml:space="preserve">Availability of data and materials </w:t>
      </w:r>
      <w:r>
        <w:rPr>
          <w:rFonts w:ascii="Times New Roman" w:hAnsi="Times New Roman"/>
          <w:sz w:val="24"/>
        </w:rPr>
        <w:t>All data generated during this study are available at https://github.com/DestrierStudios/cogbench-rag.</w:t>
      </w:r>
    </w:p>
    <w:p>
      <w:pPr>
        <w:ind w:firstLine="0"/>
      </w:pPr>
      <w:r>
        <w:rPr>
          <w:rFonts w:ascii="Times New Roman" w:hAnsi="Times New Roman"/>
          <w:b/>
          <w:sz w:val="24"/>
        </w:rPr>
        <w:t xml:space="preserve">Code availability </w:t>
      </w:r>
      <w:r>
        <w:rPr>
          <w:rFonts w:ascii="Times New Roman" w:hAnsi="Times New Roman"/>
          <w:sz w:val="24"/>
        </w:rPr>
        <w:t>All benchmark code, figure generation scripts, and Docker configuration are available at https://github.com/DestrierStudios/cogbench-rag under an MIT license.</w:t>
      </w:r>
    </w:p>
    <w:p>
      <w:pPr>
        <w:ind w:firstLine="0"/>
      </w:pPr>
      <w:r>
        <w:rPr>
          <w:rFonts w:ascii="Times New Roman" w:hAnsi="Times New Roman"/>
          <w:b/>
          <w:sz w:val="24"/>
        </w:rPr>
        <w:t xml:space="preserve">Authors' contributions </w:t>
      </w:r>
      <w:r>
        <w:rPr>
          <w:rFonts w:ascii="Times New Roman" w:hAnsi="Times New Roman"/>
          <w:sz w:val="24"/>
        </w:rPr>
        <w:t>Not applicable (sole author).</w:t>
      </w:r>
    </w:p>
    <w:p>
      <w:pPr>
        <w:jc w:val="center"/>
      </w:pPr>
      <w:r>
        <w:rPr>
          <w:rFonts w:ascii="Times New Roman" w:hAnsi="Times New Roman"/>
          <w:b/>
          <w:sz w:val="24"/>
        </w:rPr>
        <w:t>References</w:t>
      </w:r>
    </w:p>
    <w:p>
      <w:pPr>
        <w:ind w:hanging="720" w:left="720"/>
      </w:pPr>
      <w:r>
        <w:rPr>
          <w:rFonts w:ascii="Times New Roman" w:hAnsi="Times New Roman"/>
          <w:sz w:val="24"/>
        </w:rPr>
        <w:t>Anderson, J. R. (1974). Retrieval of propositional information from long-term memory. Cognitive Psychology, 6, 451–474.</w:t>
      </w:r>
    </w:p>
    <w:p>
      <w:pPr>
        <w:ind w:hanging="720" w:left="720"/>
      </w:pPr>
      <w:r>
        <w:rPr>
          <w:rFonts w:ascii="Times New Roman" w:hAnsi="Times New Roman"/>
          <w:sz w:val="24"/>
        </w:rPr>
        <w:t>Anderson, J. R., Bothell, D., Byrne, M. D., Douglass, S., Lebiere, C., &amp; Qin, Y. (2004). An integrated theory of the mind. Psychological Review, 111(4), 1036–1060.</w:t>
      </w:r>
    </w:p>
    <w:p>
      <w:pPr>
        <w:ind w:hanging="720" w:left="720"/>
      </w:pPr>
      <w:r>
        <w:rPr>
          <w:rFonts w:ascii="Times New Roman" w:hAnsi="Times New Roman"/>
          <w:sz w:val="24"/>
        </w:rPr>
        <w:t>Anderson, J. R., &amp; Reder, L. M. (1999). The fan effect: New results and new theories. Journal of Experimental Psychology: General, 128(2), 186–197.</w:t>
      </w:r>
    </w:p>
    <w:p>
      <w:pPr>
        <w:ind w:hanging="720" w:left="720"/>
      </w:pPr>
      <w:r>
        <w:rPr>
          <w:rFonts w:ascii="Times New Roman" w:hAnsi="Times New Roman"/>
          <w:sz w:val="24"/>
        </w:rPr>
        <w:t>Anderson, M. C. (2003). Rethinking interference theory: Executive control and the mechanisms of forgetting. Journal of Memory and Language, 49(4), 415–445.</w:t>
      </w:r>
    </w:p>
    <w:p>
      <w:pPr>
        <w:ind w:hanging="720" w:left="720"/>
      </w:pPr>
      <w:r>
        <w:rPr>
          <w:rFonts w:ascii="Times New Roman" w:hAnsi="Times New Roman"/>
          <w:sz w:val="24"/>
        </w:rPr>
        <w:t>Anderson, M. C., Bjork, R. A., &amp; Bjork, E. L. (1994). Remembering can cause forgetting: Retrieval dynamics in long-term memory. Journal of Experimental Psychology: Learning, Memory, and Cognition, 20(5), 1063–1087.</w:t>
      </w:r>
    </w:p>
    <w:p>
      <w:pPr>
        <w:ind w:hanging="720" w:left="720"/>
      </w:pPr>
      <w:r>
        <w:rPr>
          <w:rFonts w:ascii="Times New Roman" w:hAnsi="Times New Roman"/>
          <w:sz w:val="24"/>
        </w:rPr>
        <w:t>Asai, A., Wu, Z., Wang, Y., Sil, A., &amp; Hajishirzi, H. (2024). Self-RAG: Learning to retrieve, generate, and critique through self-reflection. In Proceedings of ICLR 2024.</w:t>
      </w:r>
    </w:p>
    <w:p>
      <w:pPr>
        <w:ind w:hanging="720" w:left="720"/>
      </w:pPr>
      <w:r>
        <w:rPr>
          <w:rFonts w:ascii="Times New Roman" w:hAnsi="Times New Roman"/>
          <w:sz w:val="24"/>
        </w:rPr>
        <w:t>Atkinson, R. C., &amp; Shiffrin, R. M. (1968). Human memory: A proposed system and its control processes. In K. W. Spence &amp; J. T. Spence (Eds.), The psychology of learning and motivation (Vol. 2, pp. 89–195). Academic Press.</w:t>
      </w:r>
    </w:p>
    <w:p>
      <w:pPr>
        <w:ind w:hanging="720" w:left="720"/>
      </w:pPr>
      <w:r>
        <w:rPr>
          <w:rFonts w:ascii="Times New Roman" w:hAnsi="Times New Roman"/>
          <w:sz w:val="24"/>
        </w:rPr>
        <w:t>Baddeley, A., Eysenck, M. W., &amp; Anderson, M. C. (2015). Memory (2nd ed.). Psychology Press.</w:t>
      </w:r>
    </w:p>
    <w:p>
      <w:pPr>
        <w:ind w:hanging="720" w:left="720"/>
      </w:pPr>
      <w:r>
        <w:rPr>
          <w:rFonts w:ascii="Times New Roman" w:hAnsi="Times New Roman"/>
          <w:sz w:val="24"/>
        </w:rPr>
        <w:t>Barnes, J. M., &amp; Underwood, B. J. (1959). Fate of first-list associations in transfer theory. Journal of Experimental Psychology, 58(2), 97–105.</w:t>
      </w:r>
    </w:p>
    <w:p>
      <w:pPr>
        <w:ind w:hanging="720" w:left="720"/>
      </w:pPr>
      <w:r>
        <w:rPr>
          <w:rFonts w:ascii="Times New Roman" w:hAnsi="Times New Roman"/>
          <w:sz w:val="24"/>
        </w:rPr>
        <w:t>Binz, M., &amp; Schulz, E. (2023). Using cognitive psychology to understand GPT-3. Proceedings of the National Academy of Sciences, 120(6), e2218523120.</w:t>
      </w:r>
    </w:p>
    <w:p>
      <w:pPr>
        <w:ind w:hanging="720" w:left="720"/>
      </w:pPr>
      <w:r>
        <w:rPr>
          <w:rFonts w:ascii="Times New Roman" w:hAnsi="Times New Roman"/>
          <w:sz w:val="24"/>
        </w:rPr>
        <w:t>Bursa, O. (2026). A dynamic retrieval-augmented generation system with selective memory and remembrance. arXiv:2601.02428.</w:t>
      </w:r>
    </w:p>
    <w:p>
      <w:pPr>
        <w:ind w:hanging="720" w:left="720"/>
      </w:pPr>
      <w:r>
        <w:rPr>
          <w:rFonts w:ascii="Times New Roman" w:hAnsi="Times New Roman"/>
          <w:sz w:val="24"/>
        </w:rPr>
        <w:t>Cepeda, N. J., Pashler, H., Vul, E., Wixted, J. T., &amp; Rohrer, D. (2006). Distributed practice in verbal recall tasks: A review and quantitative synthesis. Psychological Bulletin, 132(3), 354–380.</w:t>
      </w:r>
    </w:p>
    <w:p>
      <w:pPr>
        <w:ind w:hanging="720" w:left="720"/>
      </w:pPr>
      <w:r>
        <w:rPr>
          <w:rFonts w:ascii="Times New Roman" w:hAnsi="Times New Roman"/>
          <w:sz w:val="24"/>
        </w:rPr>
        <w:t>Chen, J., Lin, H., Han, X., &amp; Sun, L. (2024). Benchmarking large language models in retrieval-augmented generation. In Proceedings of AAAI 2024.</w:t>
      </w:r>
    </w:p>
    <w:p>
      <w:pPr>
        <w:ind w:hanging="720" w:left="720"/>
      </w:pPr>
      <w:r>
        <w:rPr>
          <w:rFonts w:ascii="Times New Roman" w:hAnsi="Times New Roman"/>
          <w:sz w:val="24"/>
        </w:rPr>
        <w:t>Chen, Y., Yan, L., Sun, W., Ma, X., Zhang, Y., Wang, S., Yin, D., Yang, Y., &amp; Mao, J. (2025). Improving retrieval-augmented generation through multi-agent reinforcement learning. arXiv:2501.15228.</w:t>
      </w:r>
    </w:p>
    <w:p>
      <w:pPr>
        <w:ind w:hanging="720" w:left="720"/>
      </w:pPr>
      <w:r>
        <w:rPr>
          <w:rFonts w:ascii="Times New Roman" w:hAnsi="Times New Roman"/>
          <w:sz w:val="24"/>
        </w:rPr>
        <w:t>Cheung, V., Maier, M., &amp; Lieder, F. (2025). Large language models show amplified cognitive biases in moral decision-making. Proceedings of the National Academy of Sciences, 122(25), e2412015122.</w:t>
      </w:r>
    </w:p>
    <w:p>
      <w:pPr>
        <w:ind w:hanging="720" w:left="720"/>
      </w:pPr>
      <w:r>
        <w:rPr>
          <w:rFonts w:ascii="Times New Roman" w:hAnsi="Times New Roman"/>
          <w:sz w:val="24"/>
        </w:rPr>
        <w:t>Craik, F. I. M., &amp; Lockhart, R. S. (1972). Levels of processing: A framework for memory research. Journal of Verbal Learning and Verbal Behavior, 11(6), 671–684.</w:t>
      </w:r>
    </w:p>
    <w:p>
      <w:pPr>
        <w:ind w:hanging="720" w:left="720"/>
      </w:pPr>
      <w:r>
        <w:rPr>
          <w:rFonts w:ascii="Times New Roman" w:hAnsi="Times New Roman"/>
          <w:sz w:val="24"/>
        </w:rPr>
        <w:t>Ebbinghaus, H. (1885). Über das Gedächtnis. Duncker &amp; Humblot.</w:t>
      </w:r>
    </w:p>
    <w:p>
      <w:pPr>
        <w:ind w:hanging="720" w:left="720"/>
      </w:pPr>
      <w:r>
        <w:rPr>
          <w:rFonts w:ascii="Times New Roman" w:hAnsi="Times New Roman"/>
          <w:sz w:val="24"/>
        </w:rPr>
        <w:t>Edge, D., Trinh, H., Cheng, N., et al. (2024). From local to global: A graph RAG approach to query-focused summarization. arXiv:2404.16130.</w:t>
      </w:r>
    </w:p>
    <w:p>
      <w:pPr>
        <w:ind w:hanging="720" w:left="720"/>
      </w:pPr>
      <w:r>
        <w:rPr>
          <w:rFonts w:ascii="Times New Roman" w:hAnsi="Times New Roman"/>
          <w:sz w:val="24"/>
        </w:rPr>
        <w:t>Eich, J. E. (1980). The cue-dependent nature of state-dependent retrieval. Memory &amp; Cognition, 8(2), 157–173.</w:t>
      </w:r>
    </w:p>
    <w:p>
      <w:pPr>
        <w:ind w:hanging="720" w:left="720"/>
      </w:pPr>
      <w:r>
        <w:rPr>
          <w:rFonts w:ascii="Times New Roman" w:hAnsi="Times New Roman"/>
          <w:sz w:val="24"/>
        </w:rPr>
        <w:t>Es, S., James, J., Espinosa-Anke, L., &amp; Schockaert, S. (2024). RAGAS: Automated evaluation of retrieval augmented generation. In Proceedings of EACL 2024.</w:t>
      </w:r>
    </w:p>
    <w:p>
      <w:pPr>
        <w:ind w:hanging="720" w:left="720"/>
      </w:pPr>
      <w:r>
        <w:rPr>
          <w:rFonts w:ascii="Times New Roman" w:hAnsi="Times New Roman"/>
          <w:sz w:val="24"/>
        </w:rPr>
        <w:t>Fountas, Z., et al. (2025). Human-inspired episodic memory for infinite context LLMs. In Proceedings of ICLR 2025.</w:t>
      </w:r>
    </w:p>
    <w:p>
      <w:pPr>
        <w:ind w:hanging="720" w:left="720"/>
      </w:pPr>
      <w:r>
        <w:rPr>
          <w:rFonts w:ascii="Times New Roman" w:hAnsi="Times New Roman"/>
          <w:sz w:val="24"/>
        </w:rPr>
        <w:t>Germain, P. L., Sonrel, A., &amp; Robinson, M. D. (2020). pipeComp: A general framework for the evaluation of computational pipelines. Genome Biology, 21, 227.</w:t>
      </w:r>
    </w:p>
    <w:p>
      <w:pPr>
        <w:ind w:hanging="720" w:left="720"/>
      </w:pPr>
      <w:r>
        <w:rPr>
          <w:rFonts w:ascii="Times New Roman" w:hAnsi="Times New Roman"/>
          <w:sz w:val="24"/>
        </w:rPr>
        <w:t>Glanzer, M., &amp; Cunitz, A. R. (1966). Two storage mechanisms in free recall. Journal of Verbal Learning and Verbal Behavior, 5(4), 351–360.</w:t>
      </w:r>
    </w:p>
    <w:p>
      <w:pPr>
        <w:ind w:hanging="720" w:left="720"/>
      </w:pPr>
      <w:r>
        <w:rPr>
          <w:rFonts w:ascii="Times New Roman" w:hAnsi="Times New Roman"/>
          <w:sz w:val="24"/>
        </w:rPr>
        <w:t>Godden, D. R., &amp; Baddeley, A. D. (1975). Context-dependent memory in two natural environments. British Journal of Psychology, 66, 325–331.</w:t>
      </w:r>
    </w:p>
    <w:p>
      <w:pPr>
        <w:ind w:hanging="720" w:left="720"/>
      </w:pPr>
      <w:r>
        <w:rPr>
          <w:rFonts w:ascii="Times New Roman" w:hAnsi="Times New Roman"/>
          <w:sz w:val="24"/>
        </w:rPr>
        <w:t>Gutiérrez, B. J., et al. (2024). HippoRAG: Neurobiologically inspired long-term memory for large language models. In NeurIPS 2024.</w:t>
      </w:r>
    </w:p>
    <w:p>
      <w:pPr>
        <w:ind w:hanging="720" w:left="720"/>
      </w:pPr>
      <w:r>
        <w:rPr>
          <w:rFonts w:ascii="Times New Roman" w:hAnsi="Times New Roman"/>
          <w:sz w:val="24"/>
        </w:rPr>
        <w:t>Hagendorff, T., Fabi, S., &amp; Kosinski, M. (2023). Human-like intuitive behavior and reasoning biases emerged in large language models but disappeared in ChatGPT. Nature Computational Science, 3(10), 833–838.</w:t>
      </w:r>
    </w:p>
    <w:p>
      <w:pPr>
        <w:ind w:hanging="720" w:left="720"/>
      </w:pPr>
      <w:r>
        <w:rPr>
          <w:rFonts w:ascii="Times New Roman" w:hAnsi="Times New Roman"/>
          <w:sz w:val="24"/>
        </w:rPr>
        <w:t>Jiang, Z., et al. (2023). Active retrieval augmented generation. In Proceedings of EMNLP 2023.</w:t>
      </w:r>
    </w:p>
    <w:p>
      <w:pPr>
        <w:ind w:hanging="720" w:left="720"/>
      </w:pPr>
      <w:r>
        <w:rPr>
          <w:rFonts w:ascii="Times New Roman" w:hAnsi="Times New Roman"/>
          <w:sz w:val="24"/>
        </w:rPr>
        <w:t>Johnson, J., Douze, M., &amp; Jégou, H. (2019). Billion-scale similarity search with GPUs. IEEE Transactions on Big Data, 7(3), 535–547.</w:t>
      </w:r>
    </w:p>
    <w:p>
      <w:pPr>
        <w:ind w:hanging="720" w:left="720"/>
      </w:pPr>
      <w:r>
        <w:rPr>
          <w:rFonts w:ascii="Times New Roman" w:hAnsi="Times New Roman"/>
          <w:sz w:val="24"/>
        </w:rPr>
        <w:t>Kahana, M. J. (2012). Foundations of human memory. Oxford University Press.</w:t>
      </w:r>
    </w:p>
    <w:p>
      <w:pPr>
        <w:ind w:hanging="720" w:left="720"/>
      </w:pPr>
      <w:r>
        <w:rPr>
          <w:rFonts w:ascii="Times New Roman" w:hAnsi="Times New Roman"/>
          <w:sz w:val="24"/>
        </w:rPr>
        <w:t>Karpukhin, V., et al. (2020). Dense passage retrieval for open-domain question answering. In Proceedings of EMNLP 2020.</w:t>
      </w:r>
    </w:p>
    <w:p>
      <w:pPr>
        <w:ind w:hanging="720" w:left="720"/>
      </w:pPr>
      <w:r>
        <w:rPr>
          <w:rFonts w:ascii="Times New Roman" w:hAnsi="Times New Roman"/>
          <w:sz w:val="24"/>
        </w:rPr>
        <w:t>Kim, S. H., et al. (2025). LLM reasoning does not protect against clinical cognitive biases. medRxiv, 2025.06.22.25330078.</w:t>
      </w:r>
    </w:p>
    <w:p>
      <w:pPr>
        <w:ind w:hanging="720" w:left="720"/>
      </w:pPr>
      <w:r>
        <w:rPr>
          <w:rFonts w:ascii="Times New Roman" w:hAnsi="Times New Roman"/>
          <w:sz w:val="24"/>
        </w:rPr>
        <w:t>Kliegl, O., &amp; Bäuml, K.-H. T. (2021). Buildup and release from proactive interference. Neuroscience &amp; Biobehavioral Reviews, 120, 264–278.</w:t>
      </w:r>
    </w:p>
    <w:p>
      <w:pPr>
        <w:ind w:hanging="720" w:left="720"/>
      </w:pPr>
      <w:r>
        <w:rPr>
          <w:rFonts w:ascii="Times New Roman" w:hAnsi="Times New Roman"/>
          <w:sz w:val="24"/>
        </w:rPr>
        <w:t>Koo, R., et al. (2024). Benchmarking cognitive biases in large language models as evaluators. In Findings of ACL 2024, 517–545.</w:t>
      </w:r>
    </w:p>
    <w:p>
      <w:pPr>
        <w:ind w:hanging="720" w:left="720"/>
      </w:pPr>
      <w:r>
        <w:rPr>
          <w:rFonts w:ascii="Times New Roman" w:hAnsi="Times New Roman"/>
          <w:sz w:val="24"/>
        </w:rPr>
        <w:t>Lewis, P., et al. (2020). Retrieval-augmented generation for knowledge-intensive NLP tasks. In NeurIPS 2020.</w:t>
      </w:r>
    </w:p>
    <w:p>
      <w:pPr>
        <w:ind w:hanging="720" w:left="720"/>
      </w:pPr>
      <w:r>
        <w:rPr>
          <w:rFonts w:ascii="Times New Roman" w:hAnsi="Times New Roman"/>
          <w:sz w:val="24"/>
        </w:rPr>
        <w:t>Liu, N. F., et al. (2024). Lost in the middle: How language models use long contexts. Transactions of the ACL, 12, 157–173.</w:t>
      </w:r>
    </w:p>
    <w:p>
      <w:pPr>
        <w:ind w:hanging="720" w:left="720"/>
      </w:pPr>
      <w:r>
        <w:rPr>
          <w:rFonts w:ascii="Times New Roman" w:hAnsi="Times New Roman"/>
          <w:sz w:val="24"/>
        </w:rPr>
        <w:t>Luecken, M. D., &amp; Theis, F. J. (2019). Current best practices in single-cell RNA-seq analysis. Molecular Systems Biology, 15(6), e8746.</w:t>
      </w:r>
    </w:p>
    <w:p>
      <w:pPr>
        <w:ind w:hanging="720" w:left="720"/>
      </w:pPr>
      <w:r>
        <w:rPr>
          <w:rFonts w:ascii="Times New Roman" w:hAnsi="Times New Roman"/>
          <w:sz w:val="24"/>
        </w:rPr>
        <w:t>Ma, X., et al. (2021). A replication study of dense passage retriever. arXiv:2104.05740.</w:t>
      </w:r>
    </w:p>
    <w:p>
      <w:pPr>
        <w:ind w:hanging="720" w:left="720"/>
      </w:pPr>
      <w:r>
        <w:rPr>
          <w:rFonts w:ascii="Times New Roman" w:hAnsi="Times New Roman"/>
          <w:sz w:val="24"/>
        </w:rPr>
        <w:t>Manning, C. D., Raghavan, P., &amp; Schütze, H. (2008). Introduction to information retrieval. Cambridge University Press.</w:t>
      </w:r>
    </w:p>
    <w:p>
      <w:pPr>
        <w:ind w:hanging="720" w:left="720"/>
      </w:pPr>
      <w:r>
        <w:rPr>
          <w:rFonts w:ascii="Times New Roman" w:hAnsi="Times New Roman"/>
          <w:sz w:val="24"/>
        </w:rPr>
        <w:t>Marian, V., &amp; Neisser, U. (2000). Language-dependent recall of autobiographical memories. Journal of Experimental Psychology: General, 129(3), 361–368.</w:t>
      </w:r>
    </w:p>
    <w:p>
      <w:pPr>
        <w:ind w:hanging="720" w:left="720"/>
      </w:pPr>
      <w:r>
        <w:rPr>
          <w:rFonts w:ascii="Times New Roman" w:hAnsi="Times New Roman"/>
          <w:sz w:val="24"/>
        </w:rPr>
        <w:t>McGeoch, J. A. (1932). Forgetting and the law of disuse. Psychological Review, 39(4), 352–370.</w:t>
      </w:r>
    </w:p>
    <w:p>
      <w:pPr>
        <w:ind w:hanging="720" w:left="720"/>
      </w:pPr>
      <w:r>
        <w:rPr>
          <w:rFonts w:ascii="Times New Roman" w:hAnsi="Times New Roman"/>
          <w:sz w:val="24"/>
        </w:rPr>
        <w:t>McGaugh, J. L. (2000). Memory: A century of consolidation. Science, 287(5451), 248–251.</w:t>
      </w:r>
    </w:p>
    <w:p>
      <w:pPr>
        <w:ind w:hanging="720" w:left="720"/>
      </w:pPr>
      <w:r>
        <w:rPr>
          <w:rFonts w:ascii="Times New Roman" w:hAnsi="Times New Roman"/>
          <w:sz w:val="24"/>
        </w:rPr>
        <w:t>Muennighoff, N., et al. (2022). MTEB: Massive text embedding benchmark. arXiv:2210.07316.</w:t>
      </w:r>
    </w:p>
    <w:p>
      <w:pPr>
        <w:ind w:hanging="720" w:left="720"/>
      </w:pPr>
      <w:r>
        <w:rPr>
          <w:rFonts w:ascii="Times New Roman" w:hAnsi="Times New Roman"/>
          <w:sz w:val="24"/>
        </w:rPr>
        <w:t>Müller, G. E., &amp; Pilzecker, A. (1900). Experimentelle Beiträge zur Lehre vom Gedächtnis. Zeitschrift für Psychologie, Supplement 1.</w:t>
      </w:r>
    </w:p>
    <w:p>
      <w:pPr>
        <w:ind w:hanging="720" w:left="720"/>
      </w:pPr>
      <w:r>
        <w:rPr>
          <w:rFonts w:ascii="Times New Roman" w:hAnsi="Times New Roman"/>
          <w:sz w:val="24"/>
        </w:rPr>
        <w:t>Murayama, K., Miyatsu, T., Buchli, D., &amp; Storm, B. C. (2014). Forgetting as a consequence of retrieval: A meta-analytic review. Psychological Bulletin, 140(5), 1383–1409.</w:t>
      </w:r>
    </w:p>
    <w:p>
      <w:pPr>
        <w:ind w:hanging="720" w:left="720"/>
      </w:pPr>
      <w:r>
        <w:rPr>
          <w:rFonts w:ascii="Times New Roman" w:hAnsi="Times New Roman"/>
          <w:sz w:val="24"/>
        </w:rPr>
        <w:t>Murdock, B. B. (1962). The serial position effect of free recall. Journal of Experimental Psychology, 64, 482–488.</w:t>
      </w:r>
    </w:p>
    <w:p>
      <w:pPr>
        <w:ind w:hanging="720" w:left="720"/>
      </w:pPr>
      <w:r>
        <w:rPr>
          <w:rFonts w:ascii="Times New Roman" w:hAnsi="Times New Roman"/>
          <w:sz w:val="24"/>
        </w:rPr>
        <w:t>Osgood, C. E. (1949). The similarity paradox in human learning. Psychological Review, 56(3), 132–143.</w:t>
      </w:r>
    </w:p>
    <w:p>
      <w:pPr>
        <w:ind w:hanging="720" w:left="720"/>
      </w:pPr>
      <w:r>
        <w:rPr>
          <w:rFonts w:ascii="Times New Roman" w:hAnsi="Times New Roman"/>
          <w:sz w:val="24"/>
        </w:rPr>
        <w:t>Peysakhovich, A., &amp; Lerer, A. (2023). Attention sorting combats recency bias in long context language models. arXiv:2310.01427.</w:t>
      </w:r>
    </w:p>
    <w:p>
      <w:pPr>
        <w:ind w:hanging="720" w:left="720"/>
      </w:pPr>
      <w:r>
        <w:rPr>
          <w:rFonts w:ascii="Times New Roman" w:hAnsi="Times New Roman"/>
          <w:sz w:val="24"/>
        </w:rPr>
        <w:t>Postman, L., &amp; Underwood, B. J. (1973). Critical issues in interference theory. Memory &amp; Cognition, 1, 19–40.</w:t>
      </w:r>
    </w:p>
    <w:p>
      <w:pPr>
        <w:ind w:hanging="720" w:left="720"/>
      </w:pPr>
      <w:r>
        <w:rPr>
          <w:rFonts w:ascii="Times New Roman" w:hAnsi="Times New Roman"/>
          <w:sz w:val="24"/>
        </w:rPr>
        <w:t>Radvansky, G. A., Spieler, D. H., &amp; Zacks, R. T. (1993). Mental model organization. Journal of Experimental Psychology: Learning, Memory, and Cognition, 19(1), 95–114.</w:t>
      </w:r>
    </w:p>
    <w:p>
      <w:pPr>
        <w:ind w:hanging="720" w:left="720"/>
      </w:pPr>
      <w:r>
        <w:rPr>
          <w:rFonts w:ascii="Times New Roman" w:hAnsi="Times New Roman"/>
          <w:sz w:val="24"/>
        </w:rPr>
        <w:t>Radvansky, G. A., &amp; Zacks, J. M. (2014). Event cognition. Oxford University Press.</w:t>
      </w:r>
    </w:p>
    <w:p>
      <w:pPr>
        <w:ind w:hanging="720" w:left="720"/>
      </w:pPr>
      <w:r>
        <w:rPr>
          <w:rFonts w:ascii="Times New Roman" w:hAnsi="Times New Roman"/>
          <w:sz w:val="24"/>
        </w:rPr>
        <w:t>Reimers, N., &amp; Gurevych, I. (2019). Sentence-BERT: Sentence embeddings using Siamese BERT-networks. In Proceedings of EMNLP 2019.</w:t>
      </w:r>
    </w:p>
    <w:p>
      <w:pPr>
        <w:ind w:hanging="720" w:left="720"/>
      </w:pPr>
      <w:r>
        <w:rPr>
          <w:rFonts w:ascii="Times New Roman" w:hAnsi="Times New Roman"/>
          <w:sz w:val="24"/>
        </w:rPr>
        <w:t>Robertson, S., &amp; Zaragoza, H. (2009). The probabilistic relevance framework: BM25 and beyond. Foundations and Trends in Information Retrieval, 3(4), 333–389.</w:t>
      </w:r>
    </w:p>
    <w:p>
      <w:pPr>
        <w:ind w:hanging="720" w:left="720"/>
      </w:pPr>
      <w:r>
        <w:rPr>
          <w:rFonts w:ascii="Times New Roman" w:hAnsi="Times New Roman"/>
          <w:sz w:val="24"/>
        </w:rPr>
        <w:t>Roediger, H. L., &amp; Karpicke, J. D. (2006). Test-enhanced learning. Psychological Science, 17(3), 249–255.</w:t>
      </w:r>
    </w:p>
    <w:p>
      <w:pPr>
        <w:ind w:hanging="720" w:left="720"/>
      </w:pPr>
      <w:r>
        <w:rPr>
          <w:rFonts w:ascii="Times New Roman" w:hAnsi="Times New Roman"/>
          <w:sz w:val="24"/>
        </w:rPr>
        <w:t>Rundus, D. (1971). Analysis of rehearsal processes in free recall. Journal of Experimental Psychology, 89(1), 63–77.</w:t>
      </w:r>
    </w:p>
    <w:p>
      <w:pPr>
        <w:ind w:hanging="720" w:left="720"/>
      </w:pPr>
      <w:r>
        <w:rPr>
          <w:rFonts w:ascii="Times New Roman" w:hAnsi="Times New Roman"/>
          <w:sz w:val="24"/>
        </w:rPr>
        <w:t>Saad-Falcon, J., et al. (2024). ARES: Automated evaluation framework for RAG systems. In Proceedings of NAACL 2024.</w:t>
      </w:r>
    </w:p>
    <w:p>
      <w:pPr>
        <w:ind w:hanging="720" w:left="720"/>
      </w:pPr>
      <w:r>
        <w:rPr>
          <w:rFonts w:ascii="Times New Roman" w:hAnsi="Times New Roman"/>
          <w:sz w:val="24"/>
        </w:rPr>
        <w:t>Slamecka, N. J., &amp; Graf, P. (1978). The generation effect. Journal of Experimental Psychology: Human Learning and Memory, 4(6), 592–604.</w:t>
      </w:r>
    </w:p>
    <w:p>
      <w:pPr>
        <w:ind w:hanging="720" w:left="720"/>
      </w:pPr>
      <w:r>
        <w:rPr>
          <w:rFonts w:ascii="Times New Roman" w:hAnsi="Times New Roman"/>
          <w:sz w:val="24"/>
        </w:rPr>
        <w:t>Suri, G., et al. (2024). Do LLMs show decision heuristics similar to humans? Journal of Experimental Psychology: General, 153(4), 1066–1075.</w:t>
      </w:r>
    </w:p>
    <w:p>
      <w:pPr>
        <w:ind w:hanging="720" w:left="720"/>
      </w:pPr>
      <w:r>
        <w:rPr>
          <w:rFonts w:ascii="Times New Roman" w:hAnsi="Times New Roman"/>
          <w:sz w:val="24"/>
        </w:rPr>
        <w:t>Teyler, T. J., &amp; Discenna, P. (1986). The hippocampal memory indexing theory. Behavioral Neuroscience, 100(2), 147–154.</w:t>
      </w:r>
    </w:p>
    <w:p>
      <w:pPr>
        <w:ind w:hanging="720" w:left="720"/>
      </w:pPr>
      <w:r>
        <w:rPr>
          <w:rFonts w:ascii="Times New Roman" w:hAnsi="Times New Roman"/>
          <w:sz w:val="24"/>
        </w:rPr>
        <w:t>Thakur, N., et al. (2021). BEIR: A heterogeneous benchmark for zero-shot evaluation of IR models. In NeurIPS 2021 Datasets and Benchmarks Track.</w:t>
      </w:r>
    </w:p>
    <w:p>
      <w:pPr>
        <w:ind w:hanging="720" w:left="720"/>
      </w:pPr>
      <w:r>
        <w:rPr>
          <w:rFonts w:ascii="Times New Roman" w:hAnsi="Times New Roman"/>
          <w:sz w:val="24"/>
        </w:rPr>
        <w:t>Tulving, E. (1972). Episodic and semantic memory. In E. Tulving &amp; W. Donaldson (Eds.), Organization of memory (pp. 381–403). Academic Press.</w:t>
      </w:r>
    </w:p>
    <w:p>
      <w:pPr>
        <w:ind w:hanging="720" w:left="720"/>
      </w:pPr>
      <w:r>
        <w:rPr>
          <w:rFonts w:ascii="Times New Roman" w:hAnsi="Times New Roman"/>
          <w:sz w:val="24"/>
        </w:rPr>
        <w:t>Tulving, E., &amp; Thomson, D. M. (1973). Encoding specificity and retrieval processes in episodic memory. Psychological Review, 80, 352–373.</w:t>
      </w:r>
    </w:p>
    <w:p>
      <w:pPr>
        <w:ind w:hanging="720" w:left="720"/>
      </w:pPr>
      <w:r>
        <w:rPr>
          <w:rFonts w:ascii="Times New Roman" w:hAnsi="Times New Roman"/>
          <w:sz w:val="24"/>
        </w:rPr>
        <w:t>Underwood, B. J. (1957). Interference and forgetting. Psychological Review, 64, 49–60.</w:t>
      </w:r>
    </w:p>
    <w:p>
      <w:pPr>
        <w:ind w:hanging="720" w:left="720"/>
      </w:pPr>
      <w:r>
        <w:rPr>
          <w:rFonts w:ascii="Times New Roman" w:hAnsi="Times New Roman"/>
          <w:sz w:val="24"/>
        </w:rPr>
        <w:t>Wang, W., et al. (2020). MiniLM: Deep self-attention distillation for task-agnostic compression of pre-trained transformers. In NeurIPS 2020.</w:t>
      </w:r>
    </w:p>
    <w:p>
      <w:pPr>
        <w:ind w:hanging="720" w:left="720"/>
      </w:pPr>
      <w:r>
        <w:rPr>
          <w:rFonts w:ascii="Times New Roman" w:hAnsi="Times New Roman"/>
          <w:sz w:val="24"/>
        </w:rPr>
        <w:t>Watkins, M. J., &amp; Watkins, O. C. (1975). Buildup of proactive inhibition as a cue-overload effect. Journal of Experimental Psychology: Human Learning and Memory, 1(4), 442–452.</w:t>
      </w:r>
    </w:p>
    <w:p>
      <w:pPr>
        <w:ind w:hanging="720" w:left="720"/>
      </w:pPr>
      <w:r>
        <w:rPr>
          <w:rFonts w:ascii="Times New Roman" w:hAnsi="Times New Roman"/>
          <w:sz w:val="24"/>
        </w:rPr>
        <w:t>Wixted, J. T. (2004). The psychology and neuroscience of forgetting. Annual Review of Psychology, 55, 235–269.</w:t>
      </w:r>
    </w:p>
    <w:p>
      <w:pPr>
        <w:ind w:hanging="720" w:left="720"/>
      </w:pPr>
      <w:r>
        <w:rPr>
          <w:rFonts w:ascii="Times New Roman" w:hAnsi="Times New Roman"/>
          <w:sz w:val="24"/>
        </w:rPr>
        <w:t>Zacks, J. M., Speer, N. K., Swallow, K. M., Braver, T. S., &amp; Reynolds, J. R. (2007). Event perception: A mind-brain perspective. Psychological Bulletin, 133(2), 273–293.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