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Times New Roman" w:hAnsi="Times New Roman"/>
          <w:b w:val="0"/>
          <w:sz w:val="24"/>
        </w:rPr>
        <w:t>February 18, 2026</w:t>
      </w:r>
    </w:p>
    <w:p>
      <w:pPr>
        <w:spacing w:after="120"/>
      </w:pPr>
    </w:p>
    <w:p>
      <w:pPr>
        <w:spacing w:after="120"/>
      </w:pPr>
      <w:r>
        <w:rPr>
          <w:rFonts w:ascii="Times New Roman" w:hAnsi="Times New Roman"/>
          <w:b w:val="0"/>
          <w:sz w:val="24"/>
        </w:rPr>
        <w:t>Dear Editors,</w:t>
      </w:r>
    </w:p>
    <w:p>
      <w:pPr>
        <w:spacing w:after="120"/>
      </w:pPr>
    </w:p>
    <w:p>
      <w:pPr>
        <w:spacing w:after="120"/>
      </w:pPr>
      <w:r>
        <w:rPr>
          <w:rFonts w:ascii="Times New Roman" w:hAnsi="Times New Roman"/>
          <w:b w:val="0"/>
          <w:sz w:val="24"/>
        </w:rPr>
        <w:t>I am writing to submit the manuscript entitled "Do Machines Remember Like We Do? CogBench-RAG: A Cognitive Benchmark for Retrieval-Augmented Generation Systems" for consideration as an Original Research Article in Behavior Research Methods.</w:t>
      </w:r>
    </w:p>
    <w:p>
      <w:pPr>
        <w:spacing w:after="120"/>
      </w:pPr>
      <w:r>
        <w:rPr>
          <w:rFonts w:ascii="Times New Roman" w:hAnsi="Times New Roman"/>
          <w:b w:val="0"/>
          <w:sz w:val="24"/>
        </w:rPr>
        <w:t>Retrieval-Augmented Generation (RAG) systems are widely described using memory metaphors, and recent architectures explicitly draw on cognitive neuroscience. Yet no evaluation framework tests whether these systems actually exhibit well-characterized human memory phenomena. This manuscript introduces CogBench-RAG, a benchmark suite that operationalizes five established memory principles as controlled retrieval tasks: encoding specificity, the fan effect, proactive and retroactive interference, serial position effects, and retrieval-induced forgetting. We evaluate two architecturally distinct retrieval systems (BM25 and dense semantic retrieval) and quantify their alignment with human memory patterns using a novel Cognitive Alignment Score.</w:t>
      </w:r>
    </w:p>
    <w:p>
      <w:pPr>
        <w:spacing w:after="120"/>
      </w:pPr>
      <w:r>
        <w:rPr>
          <w:rFonts w:ascii="Times New Roman" w:hAnsi="Times New Roman"/>
          <w:b w:val="0"/>
          <w:sz w:val="24"/>
        </w:rPr>
        <w:t>Our results show that both systems exhibit three competition-based memory phenomena (encoding specificity, the fan effect, and interference with the human-like retroactive-exceeds-proactive asymmetry) while showing no evidence of serial position effects or retrieval-induced forgetting. The two architectures diverge on encoding specificity: BM25 shows near-absolute context dependence, while dense retrieval partially bridges contextual gaps. The null serial position result establishes that standard retrieval systems do not contribute to the "lost in the middle" effect documented in language models, localizing that bias to the generation stage.</w:t>
      </w:r>
    </w:p>
    <w:p>
      <w:pPr>
        <w:spacing w:after="120"/>
      </w:pPr>
      <w:r>
        <w:rPr>
          <w:rFonts w:ascii="Times New Roman" w:hAnsi="Times New Roman"/>
          <w:b w:val="0"/>
          <w:sz w:val="24"/>
        </w:rPr>
        <w:t>We believe this work is well suited to Behavior Research Methods for several reasons. The paper introduces a new methodological tool grounded in cognitive psychology that can be applied by researchers studying human and machine cognition. The benchmark is open-source, fully reproducible via Docker, and designed for extensibility. The work bridges cognitive science and computer science in a way that should interest the broad readership of BRM, and it follows the journal's emphasis on methods that readers can directly use in their own research.</w:t>
      </w:r>
    </w:p>
    <w:p>
      <w:pPr>
        <w:spacing w:after="120"/>
      </w:pPr>
      <w:r>
        <w:rPr>
          <w:rFonts w:ascii="Times New Roman" w:hAnsi="Times New Roman"/>
          <w:b w:val="0"/>
          <w:sz w:val="24"/>
        </w:rPr>
        <w:t>This manuscript has not been published previously and is not under consideration elsewhere. All code and data are publicly available at https://github.com/DestrierStudios/cogbench-rag. No human participants were involved. The author declares no conflicts of interest and no external funding.</w:t>
      </w:r>
    </w:p>
    <w:p>
      <w:pPr>
        <w:spacing w:after="120"/>
      </w:pPr>
      <w:r>
        <w:rPr>
          <w:rFonts w:ascii="Times New Roman" w:hAnsi="Times New Roman"/>
          <w:b w:val="0"/>
          <w:sz w:val="24"/>
        </w:rPr>
        <w:t>Thank you for considering this submission. I look forward to hearing from you.</w:t>
      </w:r>
    </w:p>
    <w:p>
      <w:pPr>
        <w:spacing w:after="120"/>
      </w:pPr>
    </w:p>
    <w:p>
      <w:pPr>
        <w:spacing w:after="120"/>
      </w:pPr>
      <w:r>
        <w:rPr>
          <w:rFonts w:ascii="Times New Roman" w:hAnsi="Times New Roman"/>
          <w:b w:val="0"/>
          <w:sz w:val="24"/>
        </w:rPr>
        <w:t>Sincerely,</w:t>
      </w:r>
    </w:p>
    <w:p>
      <w:pPr>
        <w:spacing w:after="120"/>
      </w:pPr>
    </w:p>
    <w:p>
      <w:pPr>
        <w:spacing w:after="120"/>
      </w:pPr>
      <w:r>
        <w:rPr>
          <w:rFonts w:ascii="Times New Roman" w:hAnsi="Times New Roman"/>
          <w:b w:val="0"/>
          <w:sz w:val="24"/>
        </w:rPr>
        <w:t>Nikhil Saxena</w:t>
      </w:r>
    </w:p>
    <w:p>
      <w:pPr>
        <w:spacing w:after="120"/>
      </w:pPr>
      <w:r>
        <w:rPr>
          <w:rFonts w:ascii="Times New Roman" w:hAnsi="Times New Roman"/>
          <w:b w:val="0"/>
          <w:sz w:val="24"/>
        </w:rPr>
        <w:t>Northeastern University</w:t>
      </w:r>
    </w:p>
    <w:p>
      <w:pPr>
        <w:spacing w:after="120"/>
      </w:pPr>
      <w:r>
        <w:rPr>
          <w:rFonts w:ascii="Times New Roman" w:hAnsi="Times New Roman"/>
          <w:b w:val="0"/>
          <w:sz w:val="24"/>
        </w:rPr>
        <w:t>Boston, MA 02115</w:t>
      </w:r>
    </w:p>
    <w:p>
      <w:pPr>
        <w:spacing w:after="120"/>
      </w:pPr>
      <w:r>
        <w:rPr>
          <w:rFonts w:ascii="Times New Roman" w:hAnsi="Times New Roman"/>
          <w:b w:val="0"/>
          <w:sz w:val="24"/>
        </w:rPr>
        <w:t>saxena.ni@northeastern.edu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