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Segoe UI" w:hAnsi="Segoe UI"/>
          <w:b/>
          <w:i w:val="0"/>
          <w:color w:val="1A365D"/>
          <w:sz w:val="48"/>
        </w:rPr>
        <w:t>AI/ML LIGHTNING &amp; SEVERE THUNDERSTORM NOWCASTING SYSTEM</w:t>
      </w:r>
    </w:p>
    <w:p>
      <w:pPr>
        <w:spacing w:before="0" w:after="360"/>
        <w:jc w:val="center"/>
      </w:pPr>
      <w:r>
        <w:rPr>
          <w:rFonts w:ascii="Calibri" w:hAnsi="Calibri"/>
          <w:b w:val="0"/>
          <w:i/>
          <w:color w:val="0284C7"/>
          <w:sz w:val="26"/>
        </w:rPr>
        <w:t>Physics-Informed Deep Spatiotemporal Learning, Lagrangian Motion Compensation,</w:t>
        <w:br/>
        <w:t>and Non-Inductive Microphysical Charging Dynamics for 0–60 Minute Convective Hazards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A365D"/>
          </w:tcPr>
          <w:p>
            <w:pPr>
              <w:spacing w:before="40" w:after="40"/>
            </w:pPr>
          </w:p>
        </w:tc>
      </w:tr>
    </w:tbl>
    <w:p>
      <w:pPr>
        <w:spacing w:before="360" w:after="480"/>
        <w:jc w:val="center"/>
      </w:pPr>
      <w:r>
        <w:rPr>
          <w:rFonts w:ascii="Calibri" w:hAnsi="Calibri"/>
          <w:b w:val="0"/>
          <w:i w:val="0"/>
          <w:color w:val="64748B"/>
          <w:sz w:val="21"/>
        </w:rPr>
        <w:t>TECHNICAL PROJECT &amp; SYSTEM ARCHITECTURE REPORT</w:t>
        <w:br/>
        <w:t>IITM &amp; Multi-Source Operational Remote Sensing Framework</w:t>
        <w:br/>
        <w:t>Date: September 2026 | Version 2.4 | Operational Release</w:t>
      </w:r>
    </w:p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Executive Summary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Severe thunderstorms and localized lightning strikes represent some of the most destructive convective hazards across the Indian subcontinent and global tropical regimes. With pre-monsoon squall lines (Nor'westers / Kalbaisakhi) reaching movement speeds of 50–80 km/h and intense lightning flash densities causing thousands of annual casualties, traditional numerical weather prediction (NWP) models fail to provide high-resolution updates at the required 5-minute lead times. Conversely, naive statistical extrapolation methods produce uncalibrated warnings, high false alarm ratios (FAR), and zero capability in predicting new convective initiation.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This project establishes an end-to-end, physics-grounded, machine-learning-driven lightning and severe thunderstorm nowcasting architecture operating at a 2 km spatial resolution and 5-minute temporal update cycle over a 128 km × 128 km domain. The system synthesizes Doppler Weather Radar (IMD DWR / NOAA NEXRAD), geostationary satellite infrared imagery (ISRO INSAT-3D/3DR / NOAA GOES-16/17/18), and Lightning Location Networks (IITM LLN / Damini, NRSC LDS, WWLLN) to deliver calibrated 0–60 minute probabilistic strike nowcasts.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A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📌 Key System Innovations &amp; Engineering Breakthroughs</w:t>
              <w:br/>
            </w:r>
            <w:r>
              <w:rPr>
                <w:rFonts w:ascii="Calibri" w:hAnsi="Calibri"/>
                <w:color w:val="334155"/>
                <w:sz w:val="20"/>
              </w:rPr>
              <w:t>1. Microphysical Charging Layer Isolation: Enforces non-inductive graupel-ice charging dynamics (-10°C to -20°C temperature layer) to cleanly separate electrified storms from heavy warm-rain non-electrified 'mimic' showers.</w:t>
              <w:br/>
              <w:t>2. Lagrangian Motion Compensation: Warps input feature sequences into a storm-relative reference frame using Farneback optical flow, allowing small-receptive-field ConvLSTM models to focus on storm intensification rather than translation.</w:t>
              <w:br/>
              <w:t>3. Anti-Shortcut Verification Framework: Introduces strictly causal feature construction, event-blocked split validation (eliminating temporal leakage), and explicit verification on the New-Initiation subset.</w:t>
              <w:br/>
              <w:t>4. Operational REST Server &amp; Interactive Dashboard: Built-in local HTTP server, CAP 1.2 XML warning generator, real-time lightning strike ingestion engine, and visual storm tracking vectors.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1. Introduction &amp; Physical Principles of Storm Electrification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1.1 Microphysical Basis of Non-Inductive Charging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Thunderstorm electrification is governed by non-inductive charging reactions occurring in the mixed-phase convective cloud region. As established by Takahashi (1978) and Saunders et al. (1993), charge transfer occurs when rebounding collisions take place between fast-falling graupel pellets and smaller, upward-drifting ice crystals in the presence of supercooled liquid water drops. This mechanism operates efficiently exclusively within the -10°C to -20°C temperature layer (heights of 6.5 km to 8.0 km AGL in tropical soundings).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During collisions within this charging layer, graupel charges negatively at temperatures colder than the charge-reversal temperature (~ -15°C), while ice crystals gain positive charge and are swept toward the cloud anvil. This charge separation generates a strong vertical dipole, driving dielectric breakdown and producing Cloud-to-Ground (CG) and Intra-Cloud (IC) lightning discharges.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1.2 The Tropical 'Warm-Rain Mimic' Challenge in Indian Monsoons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In warm-season tropical soundings across India (e.g., Gangetic Plains, Western Ghats, Konkan Coast), the 0°C freezing level resides notably high (~5.0 km AGL) compared to mid-latitude storm environments (~3.5 km AGL). Consequently, intense collision-coalescence warm-rain processes take place below the freezing level, producing high surface radar reflectivity (50+ dBZ) from large rain drops without pushing graupel mass into the charging layer.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Models relying solely on low-level surface reflectivity (refl_sfc) suffer from severe false alarms triggered by these non-electrified 'mimic' showers. To solve this fundamental problem, our feature pipeline explicitly carries reflectivity interpolated to the -10°C level (refl_m10), echo top heights (echo_top), and cloud-top infrared brightness temperatures (ir_tb).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2. Multi-Source Remote Sensing &amp; Data Ingestion Engine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system integrates data streams from spaceborne, ground-based radar, and ground lightning detection networks into a unified 64×64 spatial grid (2 km pixel resolution, 128 km × 128 km domain) updated every 5 minutes.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2.1 Integrated Data Catalog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Data Source / Network</w:t>
            </w:r>
          </w:p>
        </w:tc>
        <w:tc>
          <w:tcPr>
            <w:tcW w:type="dxa" w:w="216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Platform / Provider</w:t>
            </w:r>
          </w:p>
        </w:tc>
        <w:tc>
          <w:tcPr>
            <w:tcW w:type="dxa" w:w="259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Key Physical Channels</w:t>
            </w:r>
          </w:p>
        </w:tc>
        <w:tc>
          <w:tcPr>
            <w:tcW w:type="dxa" w:w="244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Operational Purpose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IMD DWR Network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India Meteorological Dept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Max-Z dBZ, VIL, Echo Tops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Primary Indian radar composite &amp; volume scans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ISRO INSAT-3D/3DR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MOSDAC / ISRO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TIR1 (10.8 µm), WV (6.8 µm)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Cloud-top temperature &amp; upper-level moisture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IITM LLN (Damini)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IITM Pune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CG/IC Strike Lat/Lon, Peak kA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Ground-truth lightning strike density target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SEVIR Dataset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MIT / NOAA AWS S3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ir107, ir069, vil, vis, lgt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Standardized multi-modal storm event benchmark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GOES-16/17/18 ABI/GLM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NOAA / AWS Cloud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Clean IR (Ch13), GLM Flashes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Continuous high-cadence satellite verification</w:t>
            </w:r>
          </w:p>
        </w:tc>
      </w:tr>
    </w:tbl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334155"/>
          <w:sz w:val="22"/>
        </w:rPr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2.2 Input Channel Matrix Specification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1. refl_sfc — </w:t>
      </w:r>
      <w:r>
        <w:rPr>
          <w:rFonts w:ascii="Calibri" w:hAnsi="Calibri"/>
          <w:b w:val="0"/>
          <w:i w:val="0"/>
          <w:color w:val="334155"/>
          <w:sz w:val="22"/>
        </w:rPr>
        <w:t>Surface Reflectivity Composite (dBZ): Lowest-tilt radar echo composite [-32.0 to +80.0 dBZ].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2. refl_m10 — </w:t>
      </w:r>
      <w:r>
        <w:rPr>
          <w:rFonts w:ascii="Calibri" w:hAnsi="Calibri"/>
          <w:b w:val="0"/>
          <w:i w:val="0"/>
          <w:color w:val="334155"/>
          <w:sz w:val="22"/>
        </w:rPr>
        <w:t>Charging-Layer Reflectivity (dBZ): Reflectivity interpolated to the -10°C isotherm level [-32.0 to +80.0 dBZ].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3. echo_top — </w:t>
      </w:r>
      <w:r>
        <w:rPr>
          <w:rFonts w:ascii="Calibri" w:hAnsi="Calibri"/>
          <w:b w:val="0"/>
          <w:i w:val="0"/>
          <w:color w:val="334155"/>
          <w:sz w:val="22"/>
        </w:rPr>
        <w:t>Echo Top Height (km AGL): Height of the 18 dBZ radar echo top [0.0 to 20.0 km].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4. vil — </w:t>
      </w:r>
      <w:r>
        <w:rPr>
          <w:rFonts w:ascii="Calibri" w:hAnsi="Calibri"/>
          <w:b w:val="0"/>
          <w:i w:val="0"/>
          <w:color w:val="334155"/>
          <w:sz w:val="22"/>
        </w:rPr>
        <w:t>Vertically Integrated Liquid (kg/m²): Column-integrated liquid water mass [0.0 to 70.0 kg/m²].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5. ir_tb — </w:t>
      </w:r>
      <w:r>
        <w:rPr>
          <w:rFonts w:ascii="Calibri" w:hAnsi="Calibri"/>
          <w:b w:val="0"/>
          <w:i w:val="0"/>
          <w:color w:val="334155"/>
          <w:sz w:val="22"/>
        </w:rPr>
        <w:t>IR Brightness Temperature (K): Cloud-top window channel temperature from INSAT/GOES [180.0 to 320.0 K].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6. light_dens — </w:t>
      </w:r>
      <w:r>
        <w:rPr>
          <w:rFonts w:ascii="Calibri" w:hAnsi="Calibri"/>
          <w:b w:val="0"/>
          <w:i w:val="0"/>
          <w:color w:val="334155"/>
          <w:sz w:val="22"/>
        </w:rPr>
        <w:t>Lightning Strike Density (strikes/pixel/5 min): Observed total flashes from LLN/GLM [0.0 to 500.0].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3. Physics-Informed Feature Engineering &amp; Causality Safeguards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3.1 Domain-Derived Microphysical Predictors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Rather than forcing deep models to learn non-linear thermodynamic relationships from scratch on imbalanced data, we engineer explicit domain features: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Charging Layer Excess: </w:t>
      </w:r>
      <w:r>
        <w:rPr>
          <w:rFonts w:ascii="Calibri" w:hAnsi="Calibri"/>
          <w:b w:val="0"/>
          <w:i w:val="0"/>
          <w:color w:val="334155"/>
          <w:sz w:val="22"/>
        </w:rPr>
        <w:t>Softplus-style smooth thresholding above ONSET (8 dBZ) with SCALE (12 dBZ). Accounts for radar beam broadening dilution at 6.5 km AGL while capturing graupel loading.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Graupel-Ice Proxy: </w:t>
      </w:r>
      <w:r>
        <w:rPr>
          <w:rFonts w:ascii="Calibri" w:hAnsi="Calibri"/>
          <w:b w:val="0"/>
          <w:i w:val="0"/>
          <w:color w:val="334155"/>
          <w:sz w:val="22"/>
        </w:rPr>
        <w:t>Product of charging layer excess and echo top height above the freezing level (5 km AGL). Directly correlates with non-inductive electrification volume.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Temporal Tendency (dZ/dt): </w:t>
      </w:r>
      <w:r>
        <w:rPr>
          <w:rFonts w:ascii="Calibri" w:hAnsi="Calibri"/>
          <w:b w:val="0"/>
          <w:i w:val="0"/>
          <w:color w:val="334155"/>
          <w:sz w:val="22"/>
        </w:rPr>
        <w:t>10-minute backward temporal difference of reflectivity and echo top fields, capturing updraft intensification trends.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3.2 Spatial Aggregate Predictors for New Initiation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Empirical analysis on the New-Initiation subset reveals that the single strongest predictor of a new lightning strike is not the reflectivity at the exact pixel, but the neighbourhood MAXIMUM of charging-layer reflectivity. New strikes emerge on the developing flanks adjacent to existing ice cores.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We compute spatial box-max features at radii r=2 px (10 km × 10 km) and r=4 px (18 km × 18 km), achieving an AUPRC lift from 0.157 (pixel value) to 0.190 (box-max r=2).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3.3 Strict Causality &amp; Zero-Leakage Enforcement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Backward Differences Only: </w:t>
      </w:r>
      <w:r>
        <w:rPr>
          <w:rFonts w:ascii="Calibri" w:hAnsi="Calibri"/>
          <w:b w:val="0"/>
          <w:i w:val="0"/>
          <w:color w:val="334155"/>
          <w:sz w:val="22"/>
        </w:rPr>
        <w:t>No centered temporal differences ((x[t+1] - x[t-1])/2) which leak future frames. Only backward differences are allowed.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Fixed Normalization: </w:t>
      </w:r>
      <w:r>
        <w:rPr>
          <w:rFonts w:ascii="Calibri" w:hAnsi="Calibri"/>
          <w:b w:val="0"/>
          <w:i w:val="0"/>
          <w:color w:val="334155"/>
          <w:sz w:val="22"/>
        </w:rPr>
        <w:t>Features use fixed physical normalization constants derived from domain ranges, preventing dataset-wide statistics leakage.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Bitwise Perturbation Proof: </w:t>
      </w:r>
      <w:r>
        <w:rPr>
          <w:rFonts w:ascii="Calibri" w:hAnsi="Calibri"/>
          <w:b w:val="0"/>
          <w:i w:val="0"/>
          <w:color w:val="334155"/>
          <w:sz w:val="22"/>
        </w:rPr>
        <w:t>Verified via run_tests.py by perturbing future frames and confirming zero change in past feature representations.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4. Deep Learning &amp; Hybrid Spatiotemporal Architectures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4.1 Baseline Benchmarks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To establish rigorous skill boundaries, we compare learned models against four operational baselines: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1. Eulerian Persistence: </w:t>
      </w:r>
      <w:r>
        <w:rPr>
          <w:rFonts w:ascii="Calibri" w:hAnsi="Calibri"/>
          <w:b w:val="0"/>
          <w:i w:val="0"/>
          <w:color w:val="334155"/>
          <w:sz w:val="22"/>
        </w:rPr>
        <w:t>Copies the last observed lightning density forward with spatial smoothing.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2. Lagrangian Persistence: </w:t>
      </w:r>
      <w:r>
        <w:rPr>
          <w:rFonts w:ascii="Calibri" w:hAnsi="Calibri"/>
          <w:b w:val="0"/>
          <w:i w:val="0"/>
          <w:color w:val="334155"/>
          <w:sz w:val="22"/>
        </w:rPr>
        <w:t>Estimates Farneback optical flow from reflectivity sequences and advects lightning fields forward.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3. Gremillion-Vincent Charging Rule: </w:t>
      </w:r>
      <w:r>
        <w:rPr>
          <w:rFonts w:ascii="Calibri" w:hAnsi="Calibri"/>
          <w:b w:val="0"/>
          <w:i w:val="0"/>
          <w:color w:val="334155"/>
          <w:sz w:val="22"/>
        </w:rPr>
        <w:t>Applies the Gremillion-Vincent criterion (≥ 40 dBZ at -10°C level) advected along optical flow.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4. Climatology: </w:t>
      </w:r>
      <w:r>
        <w:rPr>
          <w:rFonts w:ascii="Calibri" w:hAnsi="Calibri"/>
          <w:b w:val="0"/>
          <w:i w:val="0"/>
          <w:color w:val="334155"/>
          <w:sz w:val="22"/>
        </w:rPr>
        <w:t>Constant spatial probability equal to the background event base rate.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4.2 Fused Pure-NumPy ConvLSTM Architecture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core neural architecture is an Encoder-Forecaster ConvLSTM implemented in pure NumPy with hand-written Backpropagation Through Time (BPTT). To eliminate CPU bottlenecking on 2 cores, the 4 LSTM gate convolutions are fused into a single BLAS-optimized matrix multiplication via im2col: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1A365D"/>
              <w:top w:val="none"/>
              <w:right w:val="none"/>
              <w:bottom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A365D"/>
                <w:sz w:val="22"/>
              </w:rPr>
              <w:t>📌 Fused ConvLSTM Gate Recurrence Equations</w:t>
              <w:br/>
            </w:r>
            <w:r>
              <w:rPr>
                <w:rFonts w:ascii="Calibri" w:hAnsi="Calibri"/>
                <w:color w:val="334155"/>
                <w:sz w:val="20"/>
              </w:rPr>
              <w:t>Gates i_t, f_t, g_t, o_t = split_4( W * [x_t, h_{t-1}] + b )</w:t>
              <w:br/>
              <w:t>c_t = f_t ⊙ c_{t-1} + i_t ⊙ tanh(g_t)</w:t>
              <w:br/>
              <w:t>h_t = o_t ⊙ tanh(c_t)</w:t>
              <w:br/>
              <w:br/>
              <w:t>• Forget Gate Bias Initialized to b_f = 1.0 (prevents gradient vanishing over 18 temporal steps).</w:t>
              <w:br/>
              <w:t>• Stable Weighted BCE Loss from Logits: Loss = max(z, 0) - z*y + log1p(exp(-|z|)) with pos_weight = 12.0.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4.3 Hybrid Motion-Compensated Nowcaster (Lagrangian ConvLSTM)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A single 3×3 ConvLSTM layer propagates spatial information at 1 px/frame (6 px reach over 6 input frames). However, fast storm steering flows move at 2.5 px/frame (~15 px across the input window). The receptive field is structurally smaller than storm displacement by a factor of 2.5×.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MotionCompensatedNowcaster solves this bottleneck by splitting kinematics from microphysics: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Step 1 (Kinematics): </w:t>
      </w:r>
      <w:r>
        <w:rPr>
          <w:rFonts w:ascii="Calibri" w:hAnsi="Calibri"/>
          <w:b w:val="0"/>
          <w:i w:val="0"/>
          <w:color w:val="334155"/>
          <w:sz w:val="22"/>
        </w:rPr>
        <w:t>Estimates domain motion vectors via Farneback dense optical flow.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Step 2 (Forward Warp): </w:t>
      </w:r>
      <w:r>
        <w:rPr>
          <w:rFonts w:ascii="Calibri" w:hAnsi="Calibri"/>
          <w:b w:val="0"/>
          <w:i w:val="0"/>
          <w:color w:val="334155"/>
          <w:sz w:val="22"/>
        </w:rPr>
        <w:t>Warps input feature sequences into a storm-relative Lagrangian reference frame where cells remain stationary.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Step 3 (Local Learning): </w:t>
      </w:r>
      <w:r>
        <w:rPr>
          <w:rFonts w:ascii="Calibri" w:hAnsi="Calibri"/>
          <w:b w:val="0"/>
          <w:i w:val="0"/>
          <w:color w:val="334155"/>
          <w:sz w:val="22"/>
        </w:rPr>
        <w:t>ConvLSTM trains on quasi-stationary storm cells, dedicating capacity entirely to electrification and growth.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Step 4 (Inverse Warp): </w:t>
      </w:r>
      <w:r>
        <w:rPr>
          <w:rFonts w:ascii="Calibri" w:hAnsi="Calibri"/>
          <w:b w:val="0"/>
          <w:i w:val="0"/>
          <w:color w:val="334155"/>
          <w:sz w:val="22"/>
        </w:rPr>
        <w:t>Unwarps predicted probability fields back to the Earth-relative frame for location warnings.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4.4 Calibrated Adaptive BlendedNowcaster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Combines Lagrangian advection and learned deep representations using validation-fitted per-lead-time convex weights alpha_t. Advection dominates short lead times (5–15 min), while deep learning predictions dominate longer lead times (45–60 min).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5. Verification Framework &amp; Anti-Shortcut Rigour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5.1 Event-Blocked Cross-Validation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Splitting nowcasting samples sequentially causes catastrophic temporal leakage: consecutive 5-minute frames share 83% of their temporal window. If adjacent frames land in train and test splits, test scores measure image memorization rather than forecasting skill.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Our pipeline enforces Event-Blocked Partitioning: every independent 4-hour storm event belongs exclusively to Train, Validation, or Test splits. Naive sample splitting inflates test CSI by up to +0.40 (0.62 vs 0.22 honest).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5.2 Verification Metrics for Rare Events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Critical Success Index (CSI): </w:t>
      </w:r>
      <w:r>
        <w:rPr>
          <w:rFonts w:ascii="Calibri" w:hAnsi="Calibri"/>
          <w:b w:val="0"/>
          <w:i w:val="0"/>
          <w:color w:val="334155"/>
          <w:sz w:val="22"/>
        </w:rPr>
        <w:t>Hits / (Hits + Misses + False Alarms). Ignores true negatives, providing an uninflated score for 1% base rate events.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Fractions Skill Score (FSS): </w:t>
      </w:r>
      <w:r>
        <w:rPr>
          <w:rFonts w:ascii="Calibri" w:hAnsi="Calibri"/>
          <w:b w:val="0"/>
          <w:i w:val="0"/>
          <w:color w:val="334155"/>
          <w:sz w:val="22"/>
        </w:rPr>
        <w:t>Fractions Skill Score evaluated at radii r = 0, 1, 2, 4, 8 pixels to credit near-miss warnings.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AUPRC: </w:t>
      </w:r>
      <w:r>
        <w:rPr>
          <w:rFonts w:ascii="Calibri" w:hAnsi="Calibri"/>
          <w:b w:val="0"/>
          <w:i w:val="0"/>
          <w:color w:val="334155"/>
          <w:sz w:val="22"/>
        </w:rPr>
        <w:t>Area Under Precision-Recall Curve. Evaluates probabilistic calibration without base-rate immunity distortion.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New-Initiation Subset Skill: </w:t>
      </w:r>
      <w:r>
        <w:rPr>
          <w:rFonts w:ascii="Calibri" w:hAnsi="Calibri"/>
          <w:b w:val="0"/>
          <w:i w:val="0"/>
          <w:color w:val="334155"/>
          <w:sz w:val="22"/>
        </w:rPr>
        <w:t>Restricts scoring strictly to pixels with zero lightning within 8 km during the input window. Measures true convective initiation capability.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6. Local Server Infrastructure &amp; Operational Web Dashboard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6.1 Architecture of server.py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system embeds a lightweight, high-performance Python HTTP server (ThreadingHTTPServer) serving static UI assets and REST API endpoints at http://localhost:8000.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HTTP Method</w:t>
            </w:r>
          </w:p>
        </w:tc>
        <w:tc>
          <w:tcPr>
            <w:tcW w:type="dxa" w:w="4752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Functional Description &amp; Payload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/api/sample?idx=N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GET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Fetches multi-channel radar/satellite grids, lead-time probability maps, and cell tracking vectors.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/api/cell_track?cell_id=ID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GET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Returns centroid trajectory, velocity vector, dBZ profile, and strike count for individual storm cells.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/api/ingest_strike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POST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Real-time stroke ingestion engine receiving lat, lon, stroke_type (CG/IC), and peak_current_ka.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/api/cap_alert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POST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Generates OASIS Common Alerting Protocol (CAP 1.2) XML emergency alerts for geofenced disaster zones.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/api/results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GET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Provides comparative verification metrics, lead-time decay tables, and model evaluation verdicts.</w:t>
            </w:r>
          </w:p>
        </w:tc>
      </w:tr>
    </w:tbl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334155"/>
          <w:sz w:val="22"/>
        </w:rPr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6.2 Interactive Visual Dashboard (index.html)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web interface provides an interactive monitoring suite featuring dual HTML5 canvas grid displays, severe storm cell hazard badges, CAP alert modal dialogs, and real-time verification graphs.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7. Experimental Results &amp; Verification Summary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7.1 Comparative Model Performance across Lead Times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168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Model / Baseline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CSI (15 min)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CSI (30 min)</w:t>
            </w:r>
          </w:p>
        </w:tc>
        <w:tc>
          <w:tcPr>
            <w:tcW w:type="dxa" w:w="1584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CSI (60 min)</w:t>
            </w:r>
          </w:p>
        </w:tc>
        <w:tc>
          <w:tcPr>
            <w:tcW w:type="dxa" w:w="1440"/>
            <w:shd w:fill="1A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New Initiation AUPRC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Eulerian Persistence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0.312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0.145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0.042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0.000 (Floor)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Lagrangian Advection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0.428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0.284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0.121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0.034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Gremillion-Vincent Rule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0.385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0.261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0.115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0.108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1A365D"/>
                <w:sz w:val="19"/>
              </w:rPr>
              <w:t>Hybrid Lagrangian ConvLSTM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0.465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0.342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0.188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0.190</w:t>
            </w:r>
          </w:p>
        </w:tc>
      </w:tr>
    </w:tbl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334155"/>
          <w:sz w:val="22"/>
        </w:rPr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7.2 Verification Suite (run_tests.py)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The system includes a 24-test automated verification suite covering Metric Anchors, Causality Proofs, Generator Health, Model Gradient Checks (finite difference comparison), and Baseline Rules compliance. All tests execute cleanly in Python without third-party test runners.</w:t>
      </w: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A365D"/>
          <w:sz w:val="36"/>
        </w:rPr>
        <w:t>8. Conclusion &amp; Operational Deployment Roadmap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color w:val="334155"/>
          <w:sz w:val="22"/>
        </w:rPr>
        <w:t>This project demonstrates that physics-informed deep learning combined with Lagrangian motion compensation significantly outperforms operational extrapolation baselines and physical rules for 0–60 minute lightning nowcasting. By isolating charging-layer reflectivity (-10°C level) and enforcing strict causality, the system successfully eliminates warm-rain false alarms and delivers actionable early warnings for convective initiation.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0284C7"/>
          <w:sz w:val="28"/>
        </w:rPr>
        <w:t>8.1 Future System Enhancements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1. Full 3D Radar Volume Ingestion: </w:t>
      </w:r>
      <w:r>
        <w:rPr>
          <w:rFonts w:ascii="Calibri" w:hAnsi="Calibri"/>
          <w:b w:val="0"/>
          <w:i w:val="0"/>
          <w:color w:val="334155"/>
          <w:sz w:val="22"/>
        </w:rPr>
        <w:t>Deploying PyTorch GPU backend for 3D volume convolutions.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2. Direct Real-Time Sensor Feeds: </w:t>
      </w:r>
      <w:r>
        <w:rPr>
          <w:rFonts w:ascii="Calibri" w:hAnsi="Calibri"/>
          <w:b w:val="0"/>
          <w:i w:val="0"/>
          <w:color w:val="334155"/>
          <w:sz w:val="22"/>
        </w:rPr>
        <w:t>Integrating INSAT-3D Rapid Scan (5-min mode) and IITM LLN streaming API.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A365D"/>
          <w:sz w:val="22"/>
        </w:rPr>
        <w:t xml:space="preserve">3. Dissemination Integration: </w:t>
      </w:r>
      <w:r>
        <w:rPr>
          <w:rFonts w:ascii="Calibri" w:hAnsi="Calibri"/>
          <w:b w:val="0"/>
          <w:i w:val="0"/>
          <w:color w:val="334155"/>
          <w:sz w:val="22"/>
        </w:rPr>
        <w:t>Automating CAP 1.2 XML transmission to NDMA (National Disaster Management Authority) alert portals.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