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Никишов</w:t>
      </w:r>
      <w:r>
        <w:t xml:space="preserve"> </w:t>
      </w:r>
      <w:r>
        <w:t xml:space="preserve">Дмитрий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1"/>
      </w:pPr>
      <w:bookmarkStart w:id="21" w:name="раздел-i."/>
      <w:r>
        <w:t xml:space="preserve">Раздел I.</w:t>
      </w:r>
      <w:bookmarkEnd w:id="21"/>
    </w:p>
    <w:p>
      <w:pPr>
        <w:pStyle w:val="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265332.28</m:t>
        </m:r>
        <m:r>
          <m:t>+</m:t>
        </m:r>
        <m:r>
          <m:t>1.78</m:t>
        </m:r>
        <m:r>
          <m:t>⋅</m:t>
        </m:r>
        <m:r>
          <m:t>X</m:t>
        </m:r>
        <m:r>
          <m:t>1</m:t>
        </m:r>
        <m:r>
          <m:t>+</m:t>
        </m:r>
        <m:r>
          <m:t>11.22</m:t>
        </m:r>
        <m:r>
          <m:t>⋅</m:t>
        </m:r>
        <m:r>
          <m:t>X</m:t>
        </m:r>
        <m:r>
          <m:t>2</m:t>
        </m:r>
        <m:r>
          <m:t>+</m:t>
        </m:r>
        <m:r>
          <m:t>2576.01</m:t>
        </m:r>
        <m:r>
          <m:t>⋅</m:t>
        </m:r>
        <m:r>
          <m:t>X</m:t>
        </m:r>
        <m:r>
          <m:t>3</m:t>
        </m:r>
        <m:r>
          <m:t>+</m:t>
        </m:r>
        <m:r>
          <m:t>21.92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GRP.2013</w:t>
      </w:r>
      <w:r>
        <w:t xml:space="preserve">) – ВРП.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IFA.2012</w:t>
      </w:r>
      <w:r>
        <w:t xml:space="preserve">) – Инвестиции в основной капитал.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ERF.2012</w:t>
      </w:r>
      <w:r>
        <w:t xml:space="preserve">) 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UPC.2012</w:t>
      </w:r>
      <w:r>
        <w:t xml:space="preserve">) 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IRDC.2012</w:t>
      </w:r>
      <w:r>
        <w:t xml:space="preserve">) – Внутренние затраты на научные исследования и разработки.</w:t>
      </w:r>
    </w:p>
    <w:p>
      <w:pPr>
        <w:pStyle w:val="FirstParagraph"/>
      </w:pPr>
      <w:r>
        <w:t xml:space="preserve">По количеству 81-x наблюдений.</w:t>
      </w:r>
    </w:p>
    <w:p>
      <w:pPr>
        <w:pStyle w:val="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-24012.1002</w:t>
            </w:r>
          </w:p>
        </w:tc>
        <w:tc>
          <w:p>
            <w:pPr>
              <w:pStyle w:val="Compact"/>
              <w:jc w:val="right"/>
            </w:pPr>
            <w:r>
              <w:t xml:space="preserve">33051.9997</w:t>
            </w:r>
          </w:p>
        </w:tc>
        <w:tc>
          <w:p>
            <w:pPr>
              <w:pStyle w:val="Compact"/>
              <w:jc w:val="right"/>
            </w:pPr>
            <w:r>
              <w:t xml:space="preserve">-0.7265</w:t>
            </w:r>
          </w:p>
        </w:tc>
        <w:tc>
          <w:p>
            <w:pPr>
              <w:pStyle w:val="Compact"/>
              <w:jc w:val="right"/>
            </w:pPr>
            <w:r>
              <w:t xml:space="preserve">0.4697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1.7950</w:t>
            </w:r>
          </w:p>
        </w:tc>
        <w:tc>
          <w:p>
            <w:pPr>
              <w:pStyle w:val="Compact"/>
              <w:jc w:val="right"/>
            </w:pPr>
            <w:r>
              <w:t xml:space="preserve">0.2096</w:t>
            </w:r>
          </w:p>
        </w:tc>
        <w:tc>
          <w:p>
            <w:pPr>
              <w:pStyle w:val="Compact"/>
              <w:jc w:val="right"/>
            </w:pPr>
            <w:r>
              <w:t xml:space="preserve">8.5619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11.2027</w:t>
            </w:r>
          </w:p>
        </w:tc>
        <w:tc>
          <w:p>
            <w:pPr>
              <w:pStyle w:val="Compact"/>
              <w:jc w:val="right"/>
            </w:pPr>
            <w:r>
              <w:t xml:space="preserve">1.3042</w:t>
            </w:r>
          </w:p>
        </w:tc>
        <w:tc>
          <w:p>
            <w:pPr>
              <w:pStyle w:val="Compact"/>
              <w:jc w:val="right"/>
            </w:pPr>
            <w:r>
              <w:t xml:space="preserve">8.5896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21.9548</w:t>
            </w:r>
          </w:p>
        </w:tc>
        <w:tc>
          <w:p>
            <w:pPr>
              <w:pStyle w:val="Compact"/>
              <w:jc w:val="right"/>
            </w:pPr>
            <w:r>
              <w:t xml:space="preserve">1.5368</w:t>
            </w:r>
          </w:p>
        </w:tc>
        <w:tc>
          <w:p>
            <w:pPr>
              <w:pStyle w:val="Compact"/>
              <w:jc w:val="right"/>
            </w:pPr>
            <w:r>
              <w:t xml:space="preserve">14.2857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abline(reg, col = "red"): only using the first two of 4 regression</w:t>
      </w:r>
      <w:r>
        <w:br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IFA.2012.</w:t>
      </w:r>
    </w:p>
    <w:p>
      <w:pPr>
        <w:pStyle w:val="BodyText"/>
      </w:pPr>
      <w:r>
        <w:t xml:space="preserve">H0: (параметр) коэфф. при IFA.2012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IFA.2012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IFA.2012 =</w:t>
      </w:r>
      <w:r>
        <w:t xml:space="preserve"> </w:t>
      </w:r>
      <m:oMath>
        <m:r>
          <m:t>0</m:t>
        </m:r>
        <m:r>
          <m:t>,</m:t>
        </m:r>
        <m:r>
          <m:t>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ERF.2012.</w:t>
      </w:r>
    </w:p>
    <w:p>
      <w:pPr>
        <w:pStyle w:val="BodyText"/>
      </w:pPr>
      <w:r>
        <w:t xml:space="preserve">P-значение при ERF.2012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IRDC.2012.</w:t>
      </w:r>
    </w:p>
    <w:p>
      <w:pPr>
        <w:pStyle w:val="BodyText"/>
      </w:pPr>
      <w:r>
        <w:t xml:space="preserve">P-значение при IRDC.2012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0.975. 97% исходного разброса зависимой переменной Y (ВРП) объясняет разброс объясняющих переменных X1 (Инвестиции в основной капитал), X2 (Расходы консолидированных бюджетов субъектов Российской Федерации: на национальную экономику) и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−</m:t>
        </m:r>
        <m:r>
          <m:t>24012.1</m:t>
        </m:r>
        <m:r>
          <m:t>+</m:t>
        </m:r>
        <m:r>
          <m:t>1.7950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11.2027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21.9548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-48749.4128</w:t>
            </w:r>
          </w:p>
        </w:tc>
        <w:tc>
          <w:p>
            <w:pPr>
              <w:pStyle w:val="Compact"/>
              <w:jc w:val="right"/>
            </w:pPr>
            <w:r>
              <w:t xml:space="preserve">67314.8237</w:t>
            </w:r>
          </w:p>
        </w:tc>
        <w:tc>
          <w:p>
            <w:pPr>
              <w:pStyle w:val="Compact"/>
              <w:jc w:val="right"/>
            </w:pPr>
            <w:r>
              <w:t xml:space="preserve">-0.7242</w:t>
            </w:r>
          </w:p>
        </w:tc>
        <w:tc>
          <w:p>
            <w:pPr>
              <w:pStyle w:val="Compact"/>
              <w:jc w:val="right"/>
            </w:pPr>
            <w:r>
              <w:t xml:space="preserve">0.4724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108457.1858</w:t>
            </w:r>
          </w:p>
        </w:tc>
        <w:tc>
          <w:p>
            <w:pPr>
              <w:pStyle w:val="Compact"/>
              <w:jc w:val="right"/>
            </w:pPr>
            <w:r>
              <w:t xml:space="preserve">79888.2079</w:t>
            </w:r>
          </w:p>
        </w:tc>
        <w:tc>
          <w:p>
            <w:pPr>
              <w:pStyle w:val="Compact"/>
              <w:jc w:val="right"/>
            </w:pPr>
            <w:r>
              <w:t xml:space="preserve">1.3576</w:t>
            </w:r>
          </w:p>
        </w:tc>
        <w:tc>
          <w:p>
            <w:pPr>
              <w:pStyle w:val="Compact"/>
              <w:jc w:val="right"/>
            </w:pPr>
            <w:r>
              <w:t xml:space="preserve">0.1808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177791.5357</w:t>
            </w:r>
          </w:p>
        </w:tc>
        <w:tc>
          <w:p>
            <w:pPr>
              <w:pStyle w:val="Compact"/>
              <w:jc w:val="right"/>
            </w:pPr>
            <w:r>
              <w:t xml:space="preserve">91195.0175</w:t>
            </w:r>
          </w:p>
        </w:tc>
        <w:tc>
          <w:p>
            <w:pPr>
              <w:pStyle w:val="Compact"/>
              <w:jc w:val="right"/>
            </w:pPr>
            <w:r>
              <w:t xml:space="preserve">1.9496</w:t>
            </w:r>
          </w:p>
        </w:tc>
        <w:tc>
          <w:p>
            <w:pPr>
              <w:pStyle w:val="Compact"/>
              <w:jc w:val="right"/>
            </w:pPr>
            <w:r>
              <w:t xml:space="preserve">0.0570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14916.5002</w:t>
            </w:r>
          </w:p>
        </w:tc>
        <w:tc>
          <w:p>
            <w:pPr>
              <w:pStyle w:val="Compact"/>
              <w:jc w:val="right"/>
            </w:pPr>
            <w:r>
              <w:t xml:space="preserve">107132.2792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0.8898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45033.4704</w:t>
            </w:r>
          </w:p>
        </w:tc>
        <w:tc>
          <w:p>
            <w:pPr>
              <w:pStyle w:val="Compact"/>
              <w:jc w:val="right"/>
            </w:pPr>
            <w:r>
              <w:t xml:space="preserve">86899.5193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0.6066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-86688.6774</w:t>
            </w:r>
          </w:p>
        </w:tc>
        <w:tc>
          <w:p>
            <w:pPr>
              <w:pStyle w:val="Compact"/>
              <w:jc w:val="right"/>
            </w:pPr>
            <w:r>
              <w:t xml:space="preserve">120139.2899</w:t>
            </w:r>
          </w:p>
        </w:tc>
        <w:tc>
          <w:p>
            <w:pPr>
              <w:pStyle w:val="Compact"/>
              <w:jc w:val="right"/>
            </w:pPr>
            <w:r>
              <w:t xml:space="preserve">-0.7216</w:t>
            </w:r>
          </w:p>
        </w:tc>
        <w:tc>
          <w:p>
            <w:pPr>
              <w:pStyle w:val="Compact"/>
              <w:jc w:val="right"/>
            </w:pPr>
            <w:r>
              <w:t xml:space="preserve">0.4740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69217.4728</w:t>
            </w:r>
          </w:p>
        </w:tc>
        <w:tc>
          <w:p>
            <w:pPr>
              <w:pStyle w:val="Compact"/>
              <w:jc w:val="right"/>
            </w:pPr>
            <w:r>
              <w:t xml:space="preserve">85573.6327</w:t>
            </w:r>
          </w:p>
        </w:tc>
        <w:tc>
          <w:p>
            <w:pPr>
              <w:pStyle w:val="Compact"/>
              <w:jc w:val="right"/>
            </w:pPr>
            <w:r>
              <w:t xml:space="preserve">0.8089</w:t>
            </w:r>
          </w:p>
        </w:tc>
        <w:tc>
          <w:p>
            <w:pPr>
              <w:pStyle w:val="Compact"/>
              <w:jc w:val="right"/>
            </w:pPr>
            <w:r>
              <w:t xml:space="preserve">0.4225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116619.7192</w:t>
            </w:r>
          </w:p>
        </w:tc>
        <w:tc>
          <w:p>
            <w:pPr>
              <w:pStyle w:val="Compact"/>
              <w:jc w:val="right"/>
            </w:pPr>
            <w:r>
              <w:t xml:space="preserve">88245.4961</w:t>
            </w:r>
          </w:p>
        </w:tc>
        <w:tc>
          <w:p>
            <w:pPr>
              <w:pStyle w:val="Compact"/>
              <w:jc w:val="right"/>
            </w:pPr>
            <w:r>
              <w:t xml:space="preserve">1.3215</w:t>
            </w:r>
          </w:p>
        </w:tc>
        <w:tc>
          <w:p>
            <w:pPr>
              <w:pStyle w:val="Compact"/>
              <w:jc w:val="right"/>
            </w:pPr>
            <w:r>
              <w:t xml:space="preserve">0.1925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2.1224</w:t>
            </w:r>
          </w:p>
        </w:tc>
        <w:tc>
          <w:p>
            <w:pPr>
              <w:pStyle w:val="Compact"/>
              <w:jc w:val="right"/>
            </w:pPr>
            <w:r>
              <w:t xml:space="preserve">1.0868</w:t>
            </w:r>
          </w:p>
        </w:tc>
        <w:tc>
          <w:p>
            <w:pPr>
              <w:pStyle w:val="Compact"/>
              <w:jc w:val="right"/>
            </w:pPr>
            <w:r>
              <w:t xml:space="preserve">1.9530</w:t>
            </w:r>
          </w:p>
        </w:tc>
        <w:tc>
          <w:p>
            <w:pPr>
              <w:pStyle w:val="Compact"/>
              <w:jc w:val="right"/>
            </w:pPr>
            <w:r>
              <w:t xml:space="preserve">0.0565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13.7056</w:t>
            </w:r>
          </w:p>
        </w:tc>
        <w:tc>
          <w:p>
            <w:pPr>
              <w:pStyle w:val="Compact"/>
              <w:jc w:val="right"/>
            </w:pPr>
            <w:r>
              <w:t xml:space="preserve">13.0274</w:t>
            </w:r>
          </w:p>
        </w:tc>
        <w:tc>
          <w:p>
            <w:pPr>
              <w:pStyle w:val="Compact"/>
              <w:jc w:val="right"/>
            </w:pPr>
            <w:r>
              <w:t xml:space="preserve">1.0521</w:t>
            </w:r>
          </w:p>
        </w:tc>
        <w:tc>
          <w:p>
            <w:pPr>
              <w:pStyle w:val="Compact"/>
              <w:jc w:val="right"/>
            </w:pPr>
            <w:r>
              <w:t xml:space="preserve">0.2979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-22.2409</w:t>
            </w:r>
          </w:p>
        </w:tc>
        <w:tc>
          <w:p>
            <w:pPr>
              <w:pStyle w:val="Compact"/>
              <w:jc w:val="right"/>
            </w:pPr>
            <w:r>
              <w:t xml:space="preserve">33.0293</w:t>
            </w:r>
          </w:p>
        </w:tc>
        <w:tc>
          <w:p>
            <w:pPr>
              <w:pStyle w:val="Compact"/>
              <w:jc w:val="right"/>
            </w:pPr>
            <w:r>
              <w:t xml:space="preserve">-0.6734</w:t>
            </w:r>
          </w:p>
        </w:tc>
        <w:tc>
          <w:p>
            <w:pPr>
              <w:pStyle w:val="Compact"/>
              <w:jc w:val="right"/>
            </w:pPr>
            <w:r>
              <w:t xml:space="preserve">0.5039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5.2675</w:t>
            </w:r>
          </w:p>
        </w:tc>
        <w:tc>
          <w:p>
            <w:pPr>
              <w:pStyle w:val="Compact"/>
              <w:jc w:val="right"/>
            </w:pPr>
            <w:r>
              <w:t xml:space="preserve">1.5117</w:t>
            </w:r>
          </w:p>
        </w:tc>
        <w:tc>
          <w:p>
            <w:pPr>
              <w:pStyle w:val="Compact"/>
              <w:jc w:val="right"/>
            </w:pPr>
            <w:r>
              <w:t xml:space="preserve">3.4845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-0.8033</w:t>
            </w:r>
          </w:p>
        </w:tc>
        <w:tc>
          <w:p>
            <w:pPr>
              <w:pStyle w:val="Compact"/>
              <w:jc w:val="right"/>
            </w:pPr>
            <w:r>
              <w:t xml:space="preserve">1.1459</w:t>
            </w:r>
          </w:p>
        </w:tc>
        <w:tc>
          <w:p>
            <w:pPr>
              <w:pStyle w:val="Compact"/>
              <w:jc w:val="right"/>
            </w:pPr>
            <w:r>
              <w:t xml:space="preserve">-0.7010</w:t>
            </w:r>
          </w:p>
        </w:tc>
        <w:tc>
          <w:p>
            <w:pPr>
              <w:pStyle w:val="Compact"/>
              <w:jc w:val="right"/>
            </w:pPr>
            <w:r>
              <w:t xml:space="preserve">0.4866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-0.4172</w:t>
            </w:r>
          </w:p>
        </w:tc>
        <w:tc>
          <w:p>
            <w:pPr>
              <w:pStyle w:val="Compact"/>
              <w:jc w:val="right"/>
            </w:pPr>
            <w:r>
              <w:t xml:space="preserve">2.1893</w:t>
            </w:r>
          </w:p>
        </w:tc>
        <w:tc>
          <w:p>
            <w:pPr>
              <w:pStyle w:val="Compact"/>
              <w:jc w:val="right"/>
            </w:pPr>
            <w:r>
              <w:t xml:space="preserve">-0.1906</w:t>
            </w:r>
          </w:p>
        </w:tc>
        <w:tc>
          <w:p>
            <w:pPr>
              <w:pStyle w:val="Compact"/>
              <w:jc w:val="right"/>
            </w:pPr>
            <w:r>
              <w:t xml:space="preserve">0.8497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-0.8560</w:t>
            </w:r>
          </w:p>
        </w:tc>
        <w:tc>
          <w:p>
            <w:pPr>
              <w:pStyle w:val="Compact"/>
              <w:jc w:val="right"/>
            </w:pPr>
            <w:r>
              <w:t xml:space="preserve">1.2996</w:t>
            </w:r>
          </w:p>
        </w:tc>
        <w:tc>
          <w:p>
            <w:pPr>
              <w:pStyle w:val="Compact"/>
              <w:jc w:val="right"/>
            </w:pPr>
            <w:r>
              <w:t xml:space="preserve">-0.6587</w:t>
            </w:r>
          </w:p>
        </w:tc>
        <w:tc>
          <w:p>
            <w:pPr>
              <w:pStyle w:val="Compact"/>
              <w:jc w:val="right"/>
            </w:pPr>
            <w:r>
              <w:t xml:space="preserve">0.5132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0.2138</w:t>
            </w:r>
          </w:p>
        </w:tc>
        <w:tc>
          <w:p>
            <w:pPr>
              <w:pStyle w:val="Compact"/>
              <w:jc w:val="right"/>
            </w:pPr>
            <w:r>
              <w:t xml:space="preserve">1.1188</w:t>
            </w:r>
          </w:p>
        </w:tc>
        <w:tc>
          <w:p>
            <w:pPr>
              <w:pStyle w:val="Compact"/>
              <w:jc w:val="right"/>
            </w:pPr>
            <w:r>
              <w:t xml:space="preserve">0.1911</w:t>
            </w:r>
          </w:p>
        </w:tc>
        <w:tc>
          <w:p>
            <w:pPr>
              <w:pStyle w:val="Compact"/>
              <w:jc w:val="right"/>
            </w:pPr>
            <w:r>
              <w:t xml:space="preserve">0.8492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-1.7213</w:t>
            </w:r>
          </w:p>
        </w:tc>
        <w:tc>
          <w:p>
            <w:pPr>
              <w:pStyle w:val="Compact"/>
              <w:jc w:val="right"/>
            </w:pPr>
            <w:r>
              <w:t xml:space="preserve">1.2842</w:t>
            </w:r>
          </w:p>
        </w:tc>
        <w:tc>
          <w:p>
            <w:pPr>
              <w:pStyle w:val="Compact"/>
              <w:jc w:val="right"/>
            </w:pPr>
            <w:r>
              <w:t xml:space="preserve">-1.3404</w:t>
            </w:r>
          </w:p>
        </w:tc>
        <w:tc>
          <w:p>
            <w:pPr>
              <w:pStyle w:val="Compact"/>
              <w:jc w:val="right"/>
            </w:pPr>
            <w:r>
              <w:t xml:space="preserve">0.1863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-1.6871</w:t>
            </w:r>
          </w:p>
        </w:tc>
        <w:tc>
          <w:p>
            <w:pPr>
              <w:pStyle w:val="Compact"/>
              <w:jc w:val="right"/>
            </w:pPr>
            <w:r>
              <w:t xml:space="preserve">2.4325</w:t>
            </w:r>
          </w:p>
        </w:tc>
        <w:tc>
          <w:p>
            <w:pPr>
              <w:pStyle w:val="Compact"/>
              <w:jc w:val="right"/>
            </w:pPr>
            <w:r>
              <w:t xml:space="preserve">-0.6935</w:t>
            </w:r>
          </w:p>
        </w:tc>
        <w:tc>
          <w:p>
            <w:pPr>
              <w:pStyle w:val="Compact"/>
              <w:jc w:val="right"/>
            </w:pPr>
            <w:r>
              <w:t xml:space="preserve">0.4912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-40.8944</w:t>
            </w:r>
          </w:p>
        </w:tc>
        <w:tc>
          <w:p>
            <w:pPr>
              <w:pStyle w:val="Compact"/>
              <w:jc w:val="right"/>
            </w:pPr>
            <w:r>
              <w:t xml:space="preserve">14.8785</w:t>
            </w:r>
          </w:p>
        </w:tc>
        <w:tc>
          <w:p>
            <w:pPr>
              <w:pStyle w:val="Compact"/>
              <w:jc w:val="right"/>
            </w:pPr>
            <w:r>
              <w:t xml:space="preserve">-2.7486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-14.2716</w:t>
            </w:r>
          </w:p>
        </w:tc>
        <w:tc>
          <w:p>
            <w:pPr>
              <w:pStyle w:val="Compact"/>
              <w:jc w:val="right"/>
            </w:pPr>
            <w:r>
              <w:t xml:space="preserve">13.0863</w:t>
            </w:r>
          </w:p>
        </w:tc>
        <w:tc>
          <w:p>
            <w:pPr>
              <w:pStyle w:val="Compact"/>
              <w:jc w:val="right"/>
            </w:pPr>
            <w:r>
              <w:t xml:space="preserve">-1.0906</w:t>
            </w:r>
          </w:p>
        </w:tc>
        <w:tc>
          <w:p>
            <w:pPr>
              <w:pStyle w:val="Compact"/>
              <w:jc w:val="right"/>
            </w:pPr>
            <w:r>
              <w:t xml:space="preserve">0.2808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-9.0689</w:t>
            </w:r>
          </w:p>
        </w:tc>
        <w:tc>
          <w:p>
            <w:pPr>
              <w:pStyle w:val="Compact"/>
              <w:jc w:val="right"/>
            </w:pPr>
            <w:r>
              <w:t xml:space="preserve">21.3370</w:t>
            </w:r>
          </w:p>
        </w:tc>
        <w:tc>
          <w:p>
            <w:pPr>
              <w:pStyle w:val="Compact"/>
              <w:jc w:val="right"/>
            </w:pPr>
            <w:r>
              <w:t xml:space="preserve">-0.4250</w:t>
            </w:r>
          </w:p>
        </w:tc>
        <w:tc>
          <w:p>
            <w:pPr>
              <w:pStyle w:val="Compact"/>
              <w:jc w:val="right"/>
            </w:pPr>
            <w:r>
              <w:t xml:space="preserve">0.6727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8.3701</w:t>
            </w:r>
          </w:p>
        </w:tc>
        <w:tc>
          <w:p>
            <w:pPr>
              <w:pStyle w:val="Compact"/>
              <w:jc w:val="right"/>
            </w:pPr>
            <w:r>
              <w:t xml:space="preserve">16.8804</w:t>
            </w:r>
          </w:p>
        </w:tc>
        <w:tc>
          <w:p>
            <w:pPr>
              <w:pStyle w:val="Compact"/>
              <w:jc w:val="right"/>
            </w:pPr>
            <w:r>
              <w:t xml:space="preserve">0.4958</w:t>
            </w:r>
          </w:p>
        </w:tc>
        <w:tc>
          <w:p>
            <w:pPr>
              <w:pStyle w:val="Compact"/>
              <w:jc w:val="right"/>
            </w:pPr>
            <w:r>
              <w:t xml:space="preserve">0.6222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0.1329</w:t>
            </w:r>
          </w:p>
        </w:tc>
        <w:tc>
          <w:p>
            <w:pPr>
              <w:pStyle w:val="Compact"/>
              <w:jc w:val="right"/>
            </w:pPr>
            <w:r>
              <w:t xml:space="preserve">13.2502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0.9920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7.4113</w:t>
            </w:r>
          </w:p>
        </w:tc>
        <w:tc>
          <w:p>
            <w:pPr>
              <w:pStyle w:val="Compact"/>
              <w:jc w:val="right"/>
            </w:pPr>
            <w:r>
              <w:t xml:space="preserve">13.0913</w:t>
            </w:r>
          </w:p>
        </w:tc>
        <w:tc>
          <w:p>
            <w:pPr>
              <w:pStyle w:val="Compact"/>
              <w:jc w:val="right"/>
            </w:pPr>
            <w:r>
              <w:t xml:space="preserve">0.5661</w:t>
            </w:r>
          </w:p>
        </w:tc>
        <w:tc>
          <w:p>
            <w:pPr>
              <w:pStyle w:val="Compact"/>
              <w:jc w:val="right"/>
            </w:pPr>
            <w:r>
              <w:t xml:space="preserve">0.5739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FOЮФО:ERF.2012</w:t>
            </w:r>
          </w:p>
        </w:tc>
        <w:tc>
          <w:p>
            <w:pPr>
              <w:pStyle w:val="Compact"/>
              <w:jc w:val="right"/>
            </w:pPr>
            <w:r>
              <w:t xml:space="preserve">1.8569</w:t>
            </w:r>
          </w:p>
        </w:tc>
        <w:tc>
          <w:p>
            <w:pPr>
              <w:pStyle w:val="Compact"/>
              <w:jc w:val="right"/>
            </w:pPr>
            <w:r>
              <w:t xml:space="preserve">30.5098</w:t>
            </w:r>
          </w:p>
        </w:tc>
        <w:tc>
          <w:p>
            <w:pPr>
              <w:pStyle w:val="Compact"/>
              <w:jc w:val="right"/>
            </w:pPr>
            <w:r>
              <w:t xml:space="preserve">0.0609</w:t>
            </w:r>
          </w:p>
        </w:tc>
        <w:tc>
          <w:p>
            <w:pPr>
              <w:pStyle w:val="Compact"/>
              <w:jc w:val="right"/>
            </w:pPr>
            <w:r>
              <w:t xml:space="preserve">0.9517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16.4073</w:t>
            </w:r>
          </w:p>
        </w:tc>
        <w:tc>
          <w:p>
            <w:pPr>
              <w:pStyle w:val="Compact"/>
              <w:jc w:val="right"/>
            </w:pPr>
            <w:r>
              <w:t xml:space="preserve">33.1742</w:t>
            </w:r>
          </w:p>
        </w:tc>
        <w:tc>
          <w:p>
            <w:pPr>
              <w:pStyle w:val="Compact"/>
              <w:jc w:val="right"/>
            </w:pPr>
            <w:r>
              <w:t xml:space="preserve">0.4946</w:t>
            </w:r>
          </w:p>
        </w:tc>
        <w:tc>
          <w:p>
            <w:pPr>
              <w:pStyle w:val="Compact"/>
              <w:jc w:val="right"/>
            </w:pPr>
            <w:r>
              <w:t xml:space="preserve">0.6231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44.5821</w:t>
            </w:r>
          </w:p>
        </w:tc>
        <w:tc>
          <w:p>
            <w:pPr>
              <w:pStyle w:val="Compact"/>
              <w:jc w:val="right"/>
            </w:pPr>
            <w:r>
              <w:t xml:space="preserve">33.0694</w:t>
            </w:r>
          </w:p>
        </w:tc>
        <w:tc>
          <w:p>
            <w:pPr>
              <w:pStyle w:val="Compact"/>
              <w:jc w:val="right"/>
            </w:pPr>
            <w:r>
              <w:t xml:space="preserve">1.3481</w:t>
            </w:r>
          </w:p>
        </w:tc>
        <w:tc>
          <w:p>
            <w:pPr>
              <w:pStyle w:val="Compact"/>
              <w:jc w:val="right"/>
            </w:pPr>
            <w:r>
              <w:t xml:space="preserve">0.1838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219.2339</w:t>
            </w:r>
          </w:p>
        </w:tc>
        <w:tc>
          <w:p>
            <w:pPr>
              <w:pStyle w:val="Compact"/>
              <w:jc w:val="right"/>
            </w:pPr>
            <w:r>
              <w:t xml:space="preserve">169.6732</w:t>
            </w:r>
          </w:p>
        </w:tc>
        <w:tc>
          <w:p>
            <w:pPr>
              <w:pStyle w:val="Compact"/>
              <w:jc w:val="right"/>
            </w:pPr>
            <w:r>
              <w:t xml:space="preserve">1.2921</w:t>
            </w:r>
          </w:p>
        </w:tc>
        <w:tc>
          <w:p>
            <w:pPr>
              <w:pStyle w:val="Compact"/>
              <w:jc w:val="right"/>
            </w:pPr>
            <w:r>
              <w:t xml:space="preserve">0.2024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29.7214</w:t>
            </w:r>
          </w:p>
        </w:tc>
        <w:tc>
          <w:p>
            <w:pPr>
              <w:pStyle w:val="Compact"/>
              <w:jc w:val="right"/>
            </w:pPr>
            <w:r>
              <w:t xml:space="preserve">34.3885</w:t>
            </w:r>
          </w:p>
        </w:tc>
        <w:tc>
          <w:p>
            <w:pPr>
              <w:pStyle w:val="Compact"/>
              <w:jc w:val="right"/>
            </w:pPr>
            <w:r>
              <w:t xml:space="preserve">0.8643</w:t>
            </w:r>
          </w:p>
        </w:tc>
        <w:tc>
          <w:p>
            <w:pPr>
              <w:pStyle w:val="Compact"/>
              <w:jc w:val="right"/>
            </w:pPr>
            <w:r>
              <w:t xml:space="preserve">0.3916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41.3166</w:t>
            </w:r>
          </w:p>
        </w:tc>
        <w:tc>
          <w:p>
            <w:pPr>
              <w:pStyle w:val="Compact"/>
              <w:jc w:val="right"/>
            </w:pPr>
            <w:r>
              <w:t xml:space="preserve">33.6471</w:t>
            </w:r>
          </w:p>
        </w:tc>
        <w:tc>
          <w:p>
            <w:pPr>
              <w:pStyle w:val="Compact"/>
              <w:jc w:val="right"/>
            </w:pPr>
            <w:r>
              <w:t xml:space="preserve">1.2279</w:t>
            </w:r>
          </w:p>
        </w:tc>
        <w:tc>
          <w:p>
            <w:pPr>
              <w:pStyle w:val="Compact"/>
              <w:jc w:val="right"/>
            </w:pPr>
            <w:r>
              <w:t xml:space="preserve">0.2253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38.4964</w:t>
            </w:r>
          </w:p>
        </w:tc>
        <w:tc>
          <w:p>
            <w:pPr>
              <w:pStyle w:val="Compact"/>
              <w:jc w:val="right"/>
            </w:pPr>
            <w:r>
              <w:t xml:space="preserve">33.2592</w:t>
            </w:r>
          </w:p>
        </w:tc>
        <w:tc>
          <w:p>
            <w:pPr>
              <w:pStyle w:val="Compact"/>
              <w:jc w:val="right"/>
            </w:pPr>
            <w:r>
              <w:t xml:space="preserve">1.1575</w:t>
            </w:r>
          </w:p>
        </w:tc>
        <w:tc>
          <w:p>
            <w:pPr>
              <w:pStyle w:val="Compact"/>
              <w:jc w:val="right"/>
            </w:pPr>
            <w:r>
              <w:t xml:space="preserve">0.2527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69.7271</w:t>
            </w:r>
          </w:p>
        </w:tc>
        <w:tc>
          <w:p>
            <w:pPr>
              <w:pStyle w:val="Compact"/>
              <w:jc w:val="right"/>
            </w:pPr>
            <w:r>
              <w:t xml:space="preserve">40.1299</w:t>
            </w:r>
          </w:p>
        </w:tc>
        <w:tc>
          <w:p>
            <w:pPr>
              <w:pStyle w:val="Compact"/>
              <w:jc w:val="right"/>
            </w:pPr>
            <w:r>
              <w:t xml:space="preserve">1.7375</w:t>
            </w:r>
          </w:p>
        </w:tc>
        <w:tc>
          <w:p>
            <w:pPr>
              <w:pStyle w:val="Compact"/>
              <w:jc w:val="right"/>
            </w:pPr>
            <w:r>
              <w:t xml:space="preserve">0.0886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(99.7%).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12.4521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6.3987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24825.4640</w:t>
            </w:r>
          </w:p>
        </w:tc>
        <w:tc>
          <w:p>
            <w:pPr>
              <w:pStyle w:val="Compact"/>
              <w:jc w:val="right"/>
            </w:pPr>
            <w:r>
              <w:t xml:space="preserve">18579.0134</w:t>
            </w:r>
          </w:p>
        </w:tc>
        <w:tc>
          <w:p>
            <w:pPr>
              <w:pStyle w:val="Compact"/>
              <w:jc w:val="right"/>
            </w:pPr>
            <w:r>
              <w:t xml:space="preserve">1.3362</w:t>
            </w:r>
          </w:p>
        </w:tc>
        <w:tc>
          <w:p>
            <w:pPr>
              <w:pStyle w:val="Compact"/>
              <w:jc w:val="right"/>
            </w:pPr>
            <w:r>
              <w:t xml:space="preserve">0.1861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1.7319</w:t>
            </w:r>
          </w:p>
        </w:tc>
        <w:tc>
          <w:p>
            <w:pPr>
              <w:pStyle w:val="Compact"/>
              <w:jc w:val="right"/>
            </w:pPr>
            <w:r>
              <w:t xml:space="preserve">0.1887</w:t>
            </w:r>
          </w:p>
        </w:tc>
        <w:tc>
          <w:p>
            <w:pPr>
              <w:pStyle w:val="Compact"/>
              <w:jc w:val="right"/>
            </w:pPr>
            <w:r>
              <w:t xml:space="preserve">9.1795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12.4521</w:t>
            </w:r>
          </w:p>
        </w:tc>
        <w:tc>
          <w:p>
            <w:pPr>
              <w:pStyle w:val="Compact"/>
              <w:jc w:val="right"/>
            </w:pPr>
            <w:r>
              <w:t xml:space="preserve">1.7850</w:t>
            </w:r>
          </w:p>
        </w:tc>
        <w:tc>
          <w:p>
            <w:pPr>
              <w:pStyle w:val="Compact"/>
              <w:jc w:val="right"/>
            </w:pPr>
            <w:r>
              <w:t xml:space="preserve">6.9758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-6.3987</w:t>
            </w:r>
          </w:p>
        </w:tc>
        <w:tc>
          <w:p>
            <w:pPr>
              <w:pStyle w:val="Compact"/>
              <w:jc w:val="right"/>
            </w:pPr>
            <w:r>
              <w:t xml:space="preserve">2.9721</w:t>
            </w:r>
          </w:p>
        </w:tc>
        <w:tc>
          <w:p>
            <w:pPr>
              <w:pStyle w:val="Compact"/>
              <w:jc w:val="right"/>
            </w:pPr>
            <w:r>
              <w:t xml:space="preserve">-2.1529</w:t>
            </w:r>
          </w:p>
        </w:tc>
        <w:tc>
          <w:p>
            <w:pPr>
              <w:pStyle w:val="Compact"/>
              <w:jc w:val="right"/>
            </w:pPr>
            <w:r>
              <w:t xml:space="preserve">0.0350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6.0506</w:t>
            </w:r>
          </w:p>
        </w:tc>
        <w:tc>
          <w:p>
            <w:pPr>
              <w:pStyle w:val="Compact"/>
              <w:jc w:val="right"/>
            </w:pPr>
            <w:r>
              <w:t xml:space="preserve">0.9598</w:t>
            </w:r>
          </w:p>
        </w:tc>
        <w:tc>
          <w:p>
            <w:pPr>
              <w:pStyle w:val="Compact"/>
              <w:jc w:val="right"/>
            </w:pPr>
            <w:r>
              <w:t xml:space="preserve">6.3043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0.4731</w:t>
            </w:r>
          </w:p>
        </w:tc>
        <w:tc>
          <w:p>
            <w:pPr>
              <w:pStyle w:val="Compact"/>
              <w:jc w:val="right"/>
            </w:pPr>
            <w:r>
              <w:t xml:space="preserve">0.1964</w:t>
            </w:r>
          </w:p>
        </w:tc>
        <w:tc>
          <w:p>
            <w:pPr>
              <w:pStyle w:val="Compact"/>
              <w:jc w:val="right"/>
            </w:pPr>
            <w:r>
              <w:t xml:space="preserve">2.4092</w:t>
            </w:r>
          </w:p>
        </w:tc>
        <w:tc>
          <w:p>
            <w:pPr>
              <w:pStyle w:val="Compact"/>
              <w:jc w:val="right"/>
            </w:pPr>
            <w:r>
              <w:t xml:space="preserve">0.0188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-1.3805</w:t>
            </w:r>
          </w:p>
        </w:tc>
        <w:tc>
          <w:p>
            <w:pPr>
              <w:pStyle w:val="Compact"/>
              <w:jc w:val="right"/>
            </w:pPr>
            <w:r>
              <w:t xml:space="preserve">0.3845</w:t>
            </w:r>
          </w:p>
        </w:tc>
        <w:tc>
          <w:p>
            <w:pPr>
              <w:pStyle w:val="Compact"/>
              <w:jc w:val="right"/>
            </w:pPr>
            <w:r>
              <w:t xml:space="preserve">-3.5902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-1.0176</w:t>
            </w:r>
          </w:p>
        </w:tc>
        <w:tc>
          <w:p>
            <w:pPr>
              <w:pStyle w:val="Compact"/>
              <w:jc w:val="right"/>
            </w:pPr>
            <w:r>
              <w:t xml:space="preserve">0.2271</w:t>
            </w:r>
          </w:p>
        </w:tc>
        <w:tc>
          <w:p>
            <w:pPr>
              <w:pStyle w:val="Compact"/>
              <w:jc w:val="right"/>
            </w:pPr>
            <w:r>
              <w:t xml:space="preserve">-4.4810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-41.3695</w:t>
            </w:r>
          </w:p>
        </w:tc>
        <w:tc>
          <w:p>
            <w:pPr>
              <w:pStyle w:val="Compact"/>
              <w:jc w:val="right"/>
            </w:pPr>
            <w:r>
              <w:t xml:space="preserve">7.1481</w:t>
            </w:r>
          </w:p>
        </w:tc>
        <w:tc>
          <w:p>
            <w:pPr>
              <w:pStyle w:val="Compact"/>
              <w:jc w:val="right"/>
            </w:pPr>
            <w:r>
              <w:t xml:space="preserve">-5.7875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-11.7535</w:t>
            </w:r>
          </w:p>
        </w:tc>
        <w:tc>
          <w:p>
            <w:pPr>
              <w:pStyle w:val="Compact"/>
              <w:jc w:val="right"/>
            </w:pPr>
            <w:r>
              <w:t xml:space="preserve">1.8915</w:t>
            </w:r>
          </w:p>
        </w:tc>
        <w:tc>
          <w:p>
            <w:pPr>
              <w:pStyle w:val="Compact"/>
              <w:jc w:val="right"/>
            </w:pPr>
            <w:r>
              <w:t xml:space="preserve">-6.2139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8.6405</w:t>
            </w:r>
          </w:p>
        </w:tc>
        <w:tc>
          <w:p>
            <w:pPr>
              <w:pStyle w:val="Compact"/>
              <w:jc w:val="right"/>
            </w:pPr>
            <w:r>
              <w:t xml:space="preserve">2.1482</w:t>
            </w:r>
          </w:p>
        </w:tc>
        <w:tc>
          <w:p>
            <w:pPr>
              <w:pStyle w:val="Compact"/>
              <w:jc w:val="right"/>
            </w:pPr>
            <w:r>
              <w:t xml:space="preserve">4.0222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28.2599</w:t>
            </w:r>
          </w:p>
        </w:tc>
        <w:tc>
          <w:p>
            <w:pPr>
              <w:pStyle w:val="Compact"/>
              <w:jc w:val="right"/>
            </w:pPr>
            <w:r>
              <w:t xml:space="preserve">3.2401</w:t>
            </w:r>
          </w:p>
        </w:tc>
        <w:tc>
          <w:p>
            <w:pPr>
              <w:pStyle w:val="Compact"/>
              <w:jc w:val="right"/>
            </w:pPr>
            <w:r>
              <w:t xml:space="preserve">8.7219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22.0211</w:t>
            </w:r>
          </w:p>
        </w:tc>
        <w:tc>
          <w:p>
            <w:pPr>
              <w:pStyle w:val="Compact"/>
              <w:jc w:val="right"/>
            </w:pPr>
            <w:r>
              <w:t xml:space="preserve">5.9086</w:t>
            </w:r>
          </w:p>
        </w:tc>
        <w:tc>
          <w:p>
            <w:pPr>
              <w:pStyle w:val="Compact"/>
              <w:jc w:val="right"/>
            </w:pPr>
            <w:r>
              <w:t xml:space="preserve">3.7269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20.8084</w:t>
            </w:r>
          </w:p>
        </w:tc>
        <w:tc>
          <w:p>
            <w:pPr>
              <w:pStyle w:val="Compact"/>
              <w:jc w:val="right"/>
            </w:pPr>
            <w:r>
              <w:t xml:space="preserve">5.8824</w:t>
            </w:r>
          </w:p>
        </w:tc>
        <w:tc>
          <w:p>
            <w:pPr>
              <w:pStyle w:val="Compact"/>
              <w:jc w:val="right"/>
            </w:pPr>
            <w:r>
              <w:t xml:space="preserve">3.5374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22.9172</w:t>
            </w:r>
          </w:p>
        </w:tc>
        <w:tc>
          <w:p>
            <w:pPr>
              <w:pStyle w:val="Compact"/>
              <w:jc w:val="right"/>
            </w:pPr>
            <w:r>
              <w:t xml:space="preserve">3.8367</w:t>
            </w:r>
          </w:p>
        </w:tc>
        <w:tc>
          <w:p>
            <w:pPr>
              <w:pStyle w:val="Compact"/>
              <w:jc w:val="right"/>
            </w:pPr>
            <w:r>
              <w:t xml:space="preserve">5.9731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60.7067</w:t>
            </w:r>
          </w:p>
        </w:tc>
        <w:tc>
          <w:p>
            <w:pPr>
              <w:pStyle w:val="Compact"/>
              <w:jc w:val="right"/>
            </w:pPr>
            <w:r>
              <w:t xml:space="preserve">12.2124</w:t>
            </w:r>
          </w:p>
        </w:tc>
        <w:tc>
          <w:p>
            <w:pPr>
              <w:pStyle w:val="Compact"/>
              <w:jc w:val="right"/>
            </w:pPr>
            <w:r>
              <w:t xml:space="preserve">4.9709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0.996)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3: $GRP.2013 = 78240.44 + 1.9575</w:t>
      </w:r>
      <w:r>
        <w:t xml:space="preserve"> </w:t>
      </w:r>
      <w:r>
        <w:t xml:space="preserve">IFA.2012 + 1.6602</w:t>
      </w:r>
      <w:r>
        <w:t xml:space="preserve"> </w:t>
      </w:r>
      <w:r>
        <w:t xml:space="preserve">FOПФО.IFA.2012 - 2.2150</w:t>
      </w:r>
      <w:r>
        <w:t xml:space="preserve"> </w:t>
      </w:r>
      <w:r>
        <w:t xml:space="preserve">FOЦФО.IFA.2012 + 15.7997</w:t>
      </w:r>
      <w:r>
        <w:t xml:space="preserve"> </w:t>
      </w:r>
      <w:r>
        <w:t xml:space="preserve">FOУФО.ERF.2012 + 20.7943</w:t>
      </w:r>
      <w:r>
        <w:t xml:space="preserve"> </w:t>
      </w:r>
      <w:r>
        <w:t xml:space="preserve">FOЦФО.ERF.2012 + 20.1379</w:t>
      </w:r>
      <w:r>
        <w:t xml:space="preserve"> </w:t>
      </w:r>
      <w:r>
        <w:t xml:space="preserve">FOСЗФО.IRDC.2012 + 31.8390</w:t>
      </w:r>
      <w:r>
        <w:t xml:space="preserve"> </w:t>
      </w:r>
      <w:r>
        <w:t xml:space="preserve">FOСФО.IRDC.2012 + 19.7434</w:t>
      </w:r>
      <w:r>
        <w:t xml:space="preserve"> </w:t>
      </w:r>
      <w:r>
        <w:t xml:space="preserve">FOЦФО.IRDC.2012 + 41.2278</w:t>
      </w:r>
      <w:r>
        <w:t xml:space="preserve"> </w:t>
      </w:r>
      <w:r>
        <w:t xml:space="preserve">FOЮФО.IRDC.2012 $.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78240.4445</w:t>
            </w:r>
          </w:p>
        </w:tc>
        <w:tc>
          <w:p>
            <w:pPr>
              <w:pStyle w:val="Compact"/>
              <w:jc w:val="right"/>
            </w:pPr>
            <w:r>
              <w:t xml:space="preserve">19918.0297</w:t>
            </w:r>
          </w:p>
        </w:tc>
        <w:tc>
          <w:p>
            <w:pPr>
              <w:pStyle w:val="Compact"/>
              <w:jc w:val="right"/>
            </w:pPr>
            <w:r>
              <w:t xml:space="preserve">3.9281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1.9575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15.0972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1.6602</w:t>
            </w:r>
          </w:p>
        </w:tc>
        <w:tc>
          <w:p>
            <w:pPr>
              <w:pStyle w:val="Compact"/>
              <w:jc w:val="right"/>
            </w:pPr>
            <w:r>
              <w:t xml:space="preserve">0.2066</w:t>
            </w:r>
          </w:p>
        </w:tc>
        <w:tc>
          <w:p>
            <w:pPr>
              <w:pStyle w:val="Compact"/>
              <w:jc w:val="right"/>
            </w:pPr>
            <w:r>
              <w:t xml:space="preserve">8.0342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FOЦФО.IFA.2012</w:t>
            </w:r>
          </w:p>
        </w:tc>
        <w:tc>
          <w:p>
            <w:pPr>
              <w:pStyle w:val="Compact"/>
              <w:jc w:val="right"/>
            </w:pPr>
            <w:r>
              <w:t xml:space="preserve">-2.2150</w:t>
            </w:r>
          </w:p>
        </w:tc>
        <w:tc>
          <w:p>
            <w:pPr>
              <w:pStyle w:val="Compact"/>
              <w:jc w:val="right"/>
            </w:pPr>
            <w:r>
              <w:t xml:space="preserve">0.4389</w:t>
            </w:r>
          </w:p>
        </w:tc>
        <w:tc>
          <w:p>
            <w:pPr>
              <w:pStyle w:val="Compact"/>
              <w:jc w:val="right"/>
            </w:pPr>
            <w:r>
              <w:t xml:space="preserve">-5.0471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15.7997</w:t>
            </w:r>
          </w:p>
        </w:tc>
        <w:tc>
          <w:p>
            <w:pPr>
              <w:pStyle w:val="Compact"/>
              <w:jc w:val="right"/>
            </w:pPr>
            <w:r>
              <w:t xml:space="preserve">1.5909</w:t>
            </w:r>
          </w:p>
        </w:tc>
        <w:tc>
          <w:p>
            <w:pPr>
              <w:pStyle w:val="Compact"/>
              <w:jc w:val="right"/>
            </w:pPr>
            <w:r>
              <w:t xml:space="preserve">9.9316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FOЦФО.ERF.2012</w:t>
            </w:r>
          </w:p>
        </w:tc>
        <w:tc>
          <w:p>
            <w:pPr>
              <w:pStyle w:val="Compact"/>
              <w:jc w:val="right"/>
            </w:pPr>
            <w:r>
              <w:t xml:space="preserve">20.7943</w:t>
            </w:r>
          </w:p>
        </w:tc>
        <w:tc>
          <w:p>
            <w:pPr>
              <w:pStyle w:val="Compact"/>
              <w:jc w:val="right"/>
            </w:pPr>
            <w:r>
              <w:t xml:space="preserve">1.5179</w:t>
            </w:r>
          </w:p>
        </w:tc>
        <w:tc>
          <w:p>
            <w:pPr>
              <w:pStyle w:val="Compact"/>
              <w:jc w:val="right"/>
            </w:pPr>
            <w:r>
              <w:t xml:space="preserve">13.6993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20.1379</w:t>
            </w:r>
          </w:p>
        </w:tc>
        <w:tc>
          <w:p>
            <w:pPr>
              <w:pStyle w:val="Compact"/>
              <w:jc w:val="right"/>
            </w:pPr>
            <w:r>
              <w:t xml:space="preserve">1.4778</w:t>
            </w:r>
          </w:p>
        </w:tc>
        <w:tc>
          <w:p>
            <w:pPr>
              <w:pStyle w:val="Compact"/>
              <w:jc w:val="right"/>
            </w:pPr>
            <w:r>
              <w:t xml:space="preserve">13.6272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31.8390</w:t>
            </w:r>
          </w:p>
        </w:tc>
        <w:tc>
          <w:p>
            <w:pPr>
              <w:pStyle w:val="Compact"/>
              <w:jc w:val="right"/>
            </w:pPr>
            <w:r>
              <w:t xml:space="preserve">5.8408</w:t>
            </w:r>
          </w:p>
        </w:tc>
        <w:tc>
          <w:p>
            <w:pPr>
              <w:pStyle w:val="Compact"/>
              <w:jc w:val="right"/>
            </w:pPr>
            <w:r>
              <w:t xml:space="preserve">5.4511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19.7434</w:t>
            </w:r>
          </w:p>
        </w:tc>
        <w:tc>
          <w:p>
            <w:pPr>
              <w:pStyle w:val="Compact"/>
              <w:jc w:val="right"/>
            </w:pPr>
            <w:r>
              <w:t xml:space="preserve">2.9661</w:t>
            </w:r>
          </w:p>
        </w:tc>
        <w:tc>
          <w:p>
            <w:pPr>
              <w:pStyle w:val="Compact"/>
              <w:jc w:val="right"/>
            </w:pPr>
            <w:r>
              <w:t xml:space="preserve">6.6564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FOЮФО.IRDC.2012</w:t>
            </w:r>
          </w:p>
        </w:tc>
        <w:tc>
          <w:p>
            <w:pPr>
              <w:pStyle w:val="Compact"/>
              <w:jc w:val="right"/>
            </w:pPr>
            <w:r>
              <w:t xml:space="preserve">41.2278</w:t>
            </w:r>
          </w:p>
        </w:tc>
        <w:tc>
          <w:p>
            <w:pPr>
              <w:pStyle w:val="Compact"/>
              <w:jc w:val="right"/>
            </w:pPr>
            <w:r>
              <w:t xml:space="preserve">12.1024</w:t>
            </w:r>
          </w:p>
        </w:tc>
        <w:tc>
          <w:p>
            <w:pPr>
              <w:pStyle w:val="Compact"/>
              <w:jc w:val="right"/>
            </w:pPr>
            <w:r>
              <w:t xml:space="preserve">3.4066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</w:tbl>
    <w:p>
      <w:pPr>
        <w:pStyle w:val="BodyText"/>
      </w:pPr>
      <w:r>
        <w:t xml:space="preserve">Коэффициенты модели значимы, однако коэффициент детерминации слегка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0.993).</w:t>
      </w:r>
    </w:p>
    <w:p>
      <w:pPr>
        <w:pStyle w:val="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981.00</w:t>
            </w:r>
          </w:p>
        </w:tc>
        <w:tc>
          <w:p>
            <w:pPr>
              <w:pStyle w:val="Compact"/>
              <w:jc w:val="right"/>
            </w:pPr>
            <w:r>
              <w:t xml:space="preserve">223516.7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1192.44</w:t>
            </w:r>
          </w:p>
        </w:tc>
        <w:tc>
          <w:p>
            <w:pPr>
              <w:pStyle w:val="Compact"/>
              <w:jc w:val="right"/>
            </w:pPr>
            <w:r>
              <w:t xml:space="preserve">118179.8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1098.77</w:t>
            </w:r>
          </w:p>
        </w:tc>
        <w:tc>
          <w:p>
            <w:pPr>
              <w:pStyle w:val="Compact"/>
              <w:jc w:val="right"/>
            </w:pPr>
            <w:r>
              <w:t xml:space="preserve">95490.5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653467.5;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модель;</w:t>
      </w:r>
      <w:r>
        <w:t xml:space="preserve"> </w:t>
      </w:r>
      <w:r>
        <w:t xml:space="preserve">По столбцу F.расч - вторая;</w:t>
      </w:r>
      <w:r>
        <w:t xml:space="preserve"> </w:t>
      </w:r>
      <w:r>
        <w:t xml:space="preserve">По минимальной Стандартной ошибке - вторая.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24825</m:t>
        </m:r>
        <m:r>
          <m:t>,</m:t>
        </m:r>
        <m:r>
          <m:t>46</m:t>
        </m:r>
        <m:r>
          <m:t>+</m:t>
        </m:r>
        <m:r>
          <m:t>1.7319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12.4521</m:t>
        </m:r>
        <m:r>
          <m:t>⋅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6.3987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6.0506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0.4731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1.3805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1.0176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F</m:t>
        </m:r>
        <m:r>
          <m:t>A</m:t>
        </m:r>
        <m:r>
          <m:t>.2012</m:t>
        </m:r>
        <m:r>
          <m:t>−</m:t>
        </m:r>
        <m:r>
          <m:t>41.3695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−</m:t>
        </m:r>
        <m:r>
          <m:t>11.7535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8.6405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E</m:t>
        </m:r>
        <m:r>
          <m:t>R</m:t>
        </m:r>
        <m:r>
          <m:t>F</m:t>
        </m:r>
        <m:r>
          <m:t>.2012</m:t>
        </m:r>
        <m:r>
          <m:t>+</m:t>
        </m:r>
        <m:r>
          <m:t>28.2599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22.0211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20.8084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22.9172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  <m:r>
          <m:t>+</m:t>
        </m:r>
        <m:r>
          <m:t>60.7067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35" w:name="раздел-ii."/>
      <w:r>
        <w:t xml:space="preserve">Раздел II.</w:t>
      </w:r>
      <w:bookmarkEnd w:id="35"/>
    </w:p>
    <w:p>
      <w:pPr>
        <w:pStyle w:val="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1.9081</m:t>
        </m:r>
        <m:r>
          <m:t>+</m:t>
        </m:r>
        <m:r>
          <m:t>0.78</m:t>
        </m:r>
        <m:r>
          <m:t>⋅</m:t>
        </m:r>
        <m:r>
          <m:t>X</m:t>
        </m:r>
        <m:r>
          <m:t>1</m:t>
        </m:r>
        <m:r>
          <m:t>+</m:t>
        </m:r>
        <m:r>
          <m:t>0.0717</m:t>
        </m:r>
        <m:r>
          <m:t>⋅</m:t>
        </m:r>
        <m:r>
          <m:t>X</m:t>
        </m:r>
        <m:r>
          <m:t>2</m:t>
        </m:r>
        <m:r>
          <m:t>+</m:t>
        </m:r>
        <m:r>
          <m:t>0.9032</m:t>
        </m:r>
        <m:r>
          <m:t>⋅</m:t>
        </m:r>
        <m:r>
          <m:t>X</m:t>
        </m:r>
        <m:r>
          <m:t>3</m:t>
        </m:r>
        <m:r>
          <m:t>+</m:t>
        </m:r>
        <m:r>
          <m:t>0.1303</m:t>
        </m:r>
        <m:r>
          <m:t>⋅</m:t>
        </m:r>
        <m:r>
          <m:t>X</m:t>
        </m:r>
        <m:r>
          <m:t>4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GRP.2013</w:t>
      </w:r>
      <w:r>
        <w:t xml:space="preserve">) – ВРП.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IFA.2012</w:t>
      </w:r>
      <w:r>
        <w:t xml:space="preserve">) – Инвестиции в основной капитал.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ERF.2012</w:t>
      </w:r>
      <w:r>
        <w:t xml:space="preserve">) 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UPC.2012</w:t>
      </w:r>
      <w:r>
        <w:t xml:space="preserve">) 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IRDC.2012</w:t>
      </w:r>
      <w:r>
        <w:t xml:space="preserve">) – Внутренние затраты на научные исследования и разработки.</w:t>
      </w:r>
    </w:p>
    <w:p>
      <w:pPr>
        <w:pStyle w:val="FirstParagraph"/>
      </w:pPr>
      <w:r>
        <w:t xml:space="preserve">По количеству 81-x наблюдений.</w:t>
      </w:r>
    </w:p>
    <w:p>
      <w:pPr>
        <w:pStyle w:val="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abline(reg, col = "red"): only using the first two of 4 regression</w:t>
      </w:r>
      <w:r>
        <w:br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IFA.2012.</w:t>
      </w:r>
    </w:p>
    <w:p>
      <w:pPr>
        <w:pStyle w:val="BodyText"/>
      </w:pPr>
      <w:r>
        <w:t xml:space="preserve">H0: (параметр) коэфф. при IFA.2012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IFA.2012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IFA.2012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IRDC.2012.</w:t>
      </w:r>
    </w:p>
    <w:p>
      <w:pPr>
        <w:pStyle w:val="BodyText"/>
      </w:pPr>
      <w:r>
        <w:t xml:space="preserve">P-значение при IRDC.2012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0.942. 94% исходного разброса зависимой переменной Y (ВРП) объясняет разброс объясняющих переменных X1 (Инвестиции в основной капитал), X4 (Внутренние затраты на научные исследования и разработки).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1.2379</w:t>
            </w:r>
          </w:p>
        </w:tc>
        <w:tc>
          <w:p>
            <w:pPr>
              <w:pStyle w:val="Compact"/>
              <w:jc w:val="right"/>
            </w:pPr>
            <w:r>
              <w:t xml:space="preserve">1.0995</w:t>
            </w:r>
          </w:p>
        </w:tc>
        <w:tc>
          <w:p>
            <w:pPr>
              <w:pStyle w:val="Compact"/>
              <w:jc w:val="right"/>
            </w:pPr>
            <w:r>
              <w:t xml:space="preserve">1.1259</w:t>
            </w:r>
          </w:p>
        </w:tc>
        <w:tc>
          <w:p>
            <w:pPr>
              <w:pStyle w:val="Compact"/>
              <w:jc w:val="right"/>
            </w:pPr>
            <w:r>
              <w:t xml:space="preserve">0.2649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-0.3576</w:t>
            </w:r>
          </w:p>
        </w:tc>
        <w:tc>
          <w:p>
            <w:pPr>
              <w:pStyle w:val="Compact"/>
              <w:jc w:val="right"/>
            </w:pPr>
            <w:r>
              <w:t xml:space="preserve">1.6477</w:t>
            </w:r>
          </w:p>
        </w:tc>
        <w:tc>
          <w:p>
            <w:pPr>
              <w:pStyle w:val="Compact"/>
              <w:jc w:val="right"/>
            </w:pPr>
            <w:r>
              <w:t xml:space="preserve">-0.2170</w:t>
            </w:r>
          </w:p>
        </w:tc>
        <w:tc>
          <w:p>
            <w:pPr>
              <w:pStyle w:val="Compact"/>
              <w:jc w:val="right"/>
            </w:pPr>
            <w:r>
              <w:t xml:space="preserve">0.8289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3.5713</w:t>
            </w:r>
          </w:p>
        </w:tc>
        <w:tc>
          <w:p>
            <w:pPr>
              <w:pStyle w:val="Compact"/>
              <w:jc w:val="right"/>
            </w:pPr>
            <w:r>
              <w:t xml:space="preserve">1.6147</w:t>
            </w:r>
          </w:p>
        </w:tc>
        <w:tc>
          <w:p>
            <w:pPr>
              <w:pStyle w:val="Compact"/>
              <w:jc w:val="right"/>
            </w:pPr>
            <w:r>
              <w:t xml:space="preserve">2.2117</w:t>
            </w:r>
          </w:p>
        </w:tc>
        <w:tc>
          <w:p>
            <w:pPr>
              <w:pStyle w:val="Compact"/>
              <w:jc w:val="right"/>
            </w:pPr>
            <w:r>
              <w:t xml:space="preserve">0.0310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1.5702</w:t>
            </w:r>
          </w:p>
        </w:tc>
        <w:tc>
          <w:p>
            <w:pPr>
              <w:pStyle w:val="Compact"/>
              <w:jc w:val="right"/>
            </w:pPr>
            <w:r>
              <w:t xml:space="preserve">1.6130</w:t>
            </w:r>
          </w:p>
        </w:tc>
        <w:tc>
          <w:p>
            <w:pPr>
              <w:pStyle w:val="Compact"/>
              <w:jc w:val="right"/>
            </w:pPr>
            <w:r>
              <w:t xml:space="preserve">0.9735</w:t>
            </w:r>
          </w:p>
        </w:tc>
        <w:tc>
          <w:p>
            <w:pPr>
              <w:pStyle w:val="Compact"/>
              <w:jc w:val="right"/>
            </w:pPr>
            <w:r>
              <w:t xml:space="preserve">0.3344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0.7919</w:t>
            </w:r>
          </w:p>
        </w:tc>
        <w:tc>
          <w:p>
            <w:pPr>
              <w:pStyle w:val="Compact"/>
              <w:jc w:val="right"/>
            </w:pPr>
            <w:r>
              <w:t xml:space="preserve">1.4239</w:t>
            </w:r>
          </w:p>
        </w:tc>
        <w:tc>
          <w:p>
            <w:pPr>
              <w:pStyle w:val="Compact"/>
              <w:jc w:val="right"/>
            </w:pPr>
            <w:r>
              <w:t xml:space="preserve">0.5562</w:t>
            </w:r>
          </w:p>
        </w:tc>
        <w:tc>
          <w:p>
            <w:pPr>
              <w:pStyle w:val="Compact"/>
              <w:jc w:val="right"/>
            </w:pPr>
            <w:r>
              <w:t xml:space="preserve">0.5803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1.2986</w:t>
            </w:r>
          </w:p>
        </w:tc>
        <w:tc>
          <w:p>
            <w:pPr>
              <w:pStyle w:val="Compact"/>
              <w:jc w:val="right"/>
            </w:pPr>
            <w:r>
              <w:t xml:space="preserve">1.7114</w:t>
            </w:r>
          </w:p>
        </w:tc>
        <w:tc>
          <w:p>
            <w:pPr>
              <w:pStyle w:val="Compact"/>
              <w:jc w:val="right"/>
            </w:pPr>
            <w:r>
              <w:t xml:space="preserve">0.7588</w:t>
            </w:r>
          </w:p>
        </w:tc>
        <w:tc>
          <w:p>
            <w:pPr>
              <w:pStyle w:val="Compact"/>
              <w:jc w:val="right"/>
            </w:pPr>
            <w:r>
              <w:t xml:space="preserve">0.4511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-0.3118</w:t>
            </w:r>
          </w:p>
        </w:tc>
        <w:tc>
          <w:p>
            <w:pPr>
              <w:pStyle w:val="Compact"/>
              <w:jc w:val="right"/>
            </w:pPr>
            <w:r>
              <w:t xml:space="preserve">1.5264</w:t>
            </w:r>
          </w:p>
        </w:tc>
        <w:tc>
          <w:p>
            <w:pPr>
              <w:pStyle w:val="Compact"/>
              <w:jc w:val="right"/>
            </w:pPr>
            <w:r>
              <w:t xml:space="preserve">-0.2043</w:t>
            </w:r>
          </w:p>
        </w:tc>
        <w:tc>
          <w:p>
            <w:pPr>
              <w:pStyle w:val="Compact"/>
              <w:jc w:val="right"/>
            </w:pPr>
            <w:r>
              <w:t xml:space="preserve">0.8388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2.7078</w:t>
            </w:r>
          </w:p>
        </w:tc>
        <w:tc>
          <w:p>
            <w:pPr>
              <w:pStyle w:val="Compact"/>
              <w:jc w:val="right"/>
            </w:pPr>
            <w:r>
              <w:t xml:space="preserve">1.5891</w:t>
            </w:r>
          </w:p>
        </w:tc>
        <w:tc>
          <w:p>
            <w:pPr>
              <w:pStyle w:val="Compact"/>
              <w:jc w:val="right"/>
            </w:pPr>
            <w:r>
              <w:t xml:space="preserve">1.7040</w:t>
            </w:r>
          </w:p>
        </w:tc>
        <w:tc>
          <w:p>
            <w:pPr>
              <w:pStyle w:val="Compact"/>
              <w:jc w:val="right"/>
            </w:pPr>
            <w:r>
              <w:t xml:space="preserve">0.0938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0.8890</w:t>
            </w:r>
          </w:p>
        </w:tc>
        <w:tc>
          <w:p>
            <w:pPr>
              <w:pStyle w:val="Compact"/>
              <w:jc w:val="right"/>
            </w:pPr>
            <w:r>
              <w:t xml:space="preserve">0.1306</w:t>
            </w:r>
          </w:p>
        </w:tc>
        <w:tc>
          <w:p>
            <w:pPr>
              <w:pStyle w:val="Compact"/>
              <w:jc w:val="right"/>
            </w:pPr>
            <w:r>
              <w:t xml:space="preserve">6.8054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0.1548</w:t>
            </w:r>
          </w:p>
        </w:tc>
        <w:tc>
          <w:p>
            <w:pPr>
              <w:pStyle w:val="Compact"/>
              <w:jc w:val="right"/>
            </w:pPr>
            <w:r>
              <w:t xml:space="preserve">0.0869</w:t>
            </w:r>
          </w:p>
        </w:tc>
        <w:tc>
          <w:p>
            <w:pPr>
              <w:pStyle w:val="Compact"/>
              <w:jc w:val="right"/>
            </w:pPr>
            <w:r>
              <w:t xml:space="preserve">1.7805</w:t>
            </w:r>
          </w:p>
        </w:tc>
        <w:tc>
          <w:p>
            <w:pPr>
              <w:pStyle w:val="Compact"/>
              <w:jc w:val="right"/>
            </w:pPr>
            <w:r>
              <w:t xml:space="preserve">0.0803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0.1776</w:t>
            </w:r>
          </w:p>
        </w:tc>
        <w:tc>
          <w:p>
            <w:pPr>
              <w:pStyle w:val="Compact"/>
              <w:jc w:val="right"/>
            </w:pPr>
            <w:r>
              <w:t xml:space="preserve">0.1887</w:t>
            </w:r>
          </w:p>
        </w:tc>
        <w:tc>
          <w:p>
            <w:pPr>
              <w:pStyle w:val="Compact"/>
              <w:jc w:val="right"/>
            </w:pPr>
            <w:r>
              <w:t xml:space="preserve">0.9413</w:t>
            </w:r>
          </w:p>
        </w:tc>
        <w:tc>
          <w:p>
            <w:pPr>
              <w:pStyle w:val="Compact"/>
              <w:jc w:val="right"/>
            </w:pPr>
            <w:r>
              <w:t xml:space="preserve">0.3505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-0.3327</w:t>
            </w:r>
          </w:p>
        </w:tc>
        <w:tc>
          <w:p>
            <w:pPr>
              <w:pStyle w:val="Compact"/>
              <w:jc w:val="right"/>
            </w:pPr>
            <w:r>
              <w:t xml:space="preserve">0.1791</w:t>
            </w:r>
          </w:p>
        </w:tc>
        <w:tc>
          <w:p>
            <w:pPr>
              <w:pStyle w:val="Compact"/>
              <w:jc w:val="right"/>
            </w:pPr>
            <w:r>
              <w:t xml:space="preserve">-1.8578</w:t>
            </w:r>
          </w:p>
        </w:tc>
        <w:tc>
          <w:p>
            <w:pPr>
              <w:pStyle w:val="Compact"/>
              <w:jc w:val="right"/>
            </w:pPr>
            <w:r>
              <w:t xml:space="preserve">0.0684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-0.1720</w:t>
            </w:r>
          </w:p>
        </w:tc>
        <w:tc>
          <w:p>
            <w:pPr>
              <w:pStyle w:val="Compact"/>
              <w:jc w:val="right"/>
            </w:pPr>
            <w:r>
              <w:t xml:space="preserve">0.1915</w:t>
            </w:r>
          </w:p>
        </w:tc>
        <w:tc>
          <w:p>
            <w:pPr>
              <w:pStyle w:val="Compact"/>
              <w:jc w:val="right"/>
            </w:pPr>
            <w:r>
              <w:t xml:space="preserve">-0.8981</w:t>
            </w:r>
          </w:p>
        </w:tc>
        <w:tc>
          <w:p>
            <w:pPr>
              <w:pStyle w:val="Compact"/>
              <w:jc w:val="right"/>
            </w:pPr>
            <w:r>
              <w:t xml:space="preserve">0.3729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-0.0169</w:t>
            </w:r>
          </w:p>
        </w:tc>
        <w:tc>
          <w:p>
            <w:pPr>
              <w:pStyle w:val="Compact"/>
              <w:jc w:val="right"/>
            </w:pPr>
            <w:r>
              <w:t xml:space="preserve">0.1700</w:t>
            </w:r>
          </w:p>
        </w:tc>
        <w:tc>
          <w:p>
            <w:pPr>
              <w:pStyle w:val="Compact"/>
              <w:jc w:val="right"/>
            </w:pPr>
            <w:r>
              <w:t xml:space="preserve">-0.0995</w:t>
            </w:r>
          </w:p>
        </w:tc>
        <w:tc>
          <w:p>
            <w:pPr>
              <w:pStyle w:val="Compact"/>
              <w:jc w:val="right"/>
            </w:pPr>
            <w:r>
              <w:t xml:space="preserve">0.9211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-0.0407</w:t>
            </w:r>
          </w:p>
        </w:tc>
        <w:tc>
          <w:p>
            <w:pPr>
              <w:pStyle w:val="Compact"/>
              <w:jc w:val="right"/>
            </w:pPr>
            <w:r>
              <w:t xml:space="preserve">0.1675</w:t>
            </w:r>
          </w:p>
        </w:tc>
        <w:tc>
          <w:p>
            <w:pPr>
              <w:pStyle w:val="Compact"/>
              <w:jc w:val="right"/>
            </w:pPr>
            <w:r>
              <w:t xml:space="preserve">-0.2431</w:t>
            </w:r>
          </w:p>
        </w:tc>
        <w:tc>
          <w:p>
            <w:pPr>
              <w:pStyle w:val="Compact"/>
              <w:jc w:val="right"/>
            </w:pPr>
            <w:r>
              <w:t xml:space="preserve">0.8088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0.1396</w:t>
            </w:r>
          </w:p>
        </w:tc>
        <w:tc>
          <w:p>
            <w:pPr>
              <w:pStyle w:val="Compact"/>
              <w:jc w:val="right"/>
            </w:pPr>
            <w:r>
              <w:t xml:space="preserve">0.1808</w:t>
            </w:r>
          </w:p>
        </w:tc>
        <w:tc>
          <w:p>
            <w:pPr>
              <w:pStyle w:val="Compact"/>
              <w:jc w:val="right"/>
            </w:pPr>
            <w:r>
              <w:t xml:space="preserve">0.7722</w:t>
            </w:r>
          </w:p>
        </w:tc>
        <w:tc>
          <w:p>
            <w:pPr>
              <w:pStyle w:val="Compact"/>
              <w:jc w:val="right"/>
            </w:pPr>
            <w:r>
              <w:t xml:space="preserve">0.4432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FOЮФО:IFA.2012</w:t>
            </w:r>
          </w:p>
        </w:tc>
        <w:tc>
          <w:p>
            <w:pPr>
              <w:pStyle w:val="Compact"/>
              <w:jc w:val="right"/>
            </w:pPr>
            <w:r>
              <w:t xml:space="preserve">-0.3156</w:t>
            </w:r>
          </w:p>
        </w:tc>
        <w:tc>
          <w:p>
            <w:pPr>
              <w:pStyle w:val="Compact"/>
              <w:jc w:val="right"/>
            </w:pPr>
            <w:r>
              <w:t xml:space="preserve">0.2119</w:t>
            </w:r>
          </w:p>
        </w:tc>
        <w:tc>
          <w:p>
            <w:pPr>
              <w:pStyle w:val="Compact"/>
              <w:jc w:val="right"/>
            </w:pPr>
            <w:r>
              <w:t xml:space="preserve">-1.4896</w:t>
            </w:r>
          </w:p>
        </w:tc>
        <w:tc>
          <w:p>
            <w:pPr>
              <w:pStyle w:val="Compact"/>
              <w:jc w:val="right"/>
            </w:pPr>
            <w:r>
              <w:t xml:space="preserve">0.1418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-0.1822</w:t>
            </w:r>
          </w:p>
        </w:tc>
        <w:tc>
          <w:p>
            <w:pPr>
              <w:pStyle w:val="Compact"/>
              <w:jc w:val="right"/>
            </w:pPr>
            <w:r>
              <w:t xml:space="preserve">0.1091</w:t>
            </w:r>
          </w:p>
        </w:tc>
        <w:tc>
          <w:p>
            <w:pPr>
              <w:pStyle w:val="Compact"/>
              <w:jc w:val="right"/>
            </w:pPr>
            <w:r>
              <w:t xml:space="preserve">-1.6704</w:t>
            </w:r>
          </w:p>
        </w:tc>
        <w:tc>
          <w:p>
            <w:pPr>
              <w:pStyle w:val="Compact"/>
              <w:jc w:val="right"/>
            </w:pPr>
            <w:r>
              <w:t xml:space="preserve">0.1003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0.0591</w:t>
            </w:r>
          </w:p>
        </w:tc>
        <w:tc>
          <w:p>
            <w:pPr>
              <w:pStyle w:val="Compact"/>
              <w:jc w:val="right"/>
            </w:pPr>
            <w:r>
              <w:t xml:space="preserve">0.1026</w:t>
            </w:r>
          </w:p>
        </w:tc>
        <w:tc>
          <w:p>
            <w:pPr>
              <w:pStyle w:val="Compact"/>
              <w:jc w:val="right"/>
            </w:pPr>
            <w:r>
              <w:t xml:space="preserve">0.5757</w:t>
            </w:r>
          </w:p>
        </w:tc>
        <w:tc>
          <w:p>
            <w:pPr>
              <w:pStyle w:val="Compact"/>
              <w:jc w:val="right"/>
            </w:pPr>
            <w:r>
              <w:t xml:space="preserve">0.5671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0.0972</w:t>
            </w:r>
          </w:p>
        </w:tc>
        <w:tc>
          <w:p>
            <w:pPr>
              <w:pStyle w:val="Compact"/>
              <w:jc w:val="right"/>
            </w:pPr>
            <w:r>
              <w:t xml:space="preserve">0.1432</w:t>
            </w:r>
          </w:p>
        </w:tc>
        <w:tc>
          <w:p>
            <w:pPr>
              <w:pStyle w:val="Compact"/>
              <w:jc w:val="right"/>
            </w:pPr>
            <w:r>
              <w:t xml:space="preserve">0.6788</w:t>
            </w:r>
          </w:p>
        </w:tc>
        <w:tc>
          <w:p>
            <w:pPr>
              <w:pStyle w:val="Compact"/>
              <w:jc w:val="right"/>
            </w:pPr>
            <w:r>
              <w:t xml:space="preserve">0.5000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-0.0478</w:t>
            </w:r>
          </w:p>
        </w:tc>
        <w:tc>
          <w:p>
            <w:pPr>
              <w:pStyle w:val="Compact"/>
              <w:jc w:val="right"/>
            </w:pPr>
            <w:r>
              <w:t xml:space="preserve">0.1084</w:t>
            </w:r>
          </w:p>
        </w:tc>
        <w:tc>
          <w:p>
            <w:pPr>
              <w:pStyle w:val="Compact"/>
              <w:jc w:val="right"/>
            </w:pPr>
            <w:r>
              <w:t xml:space="preserve">-0.4409</w:t>
            </w:r>
          </w:p>
        </w:tc>
        <w:tc>
          <w:p>
            <w:pPr>
              <w:pStyle w:val="Compact"/>
              <w:jc w:val="right"/>
            </w:pPr>
            <w:r>
              <w:t xml:space="preserve">0.6610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-0.0596</w:t>
            </w:r>
          </w:p>
        </w:tc>
        <w:tc>
          <w:p>
            <w:pPr>
              <w:pStyle w:val="Compact"/>
              <w:jc w:val="right"/>
            </w:pPr>
            <w:r>
              <w:t xml:space="preserve">0.1013</w:t>
            </w:r>
          </w:p>
        </w:tc>
        <w:tc>
          <w:p>
            <w:pPr>
              <w:pStyle w:val="Compact"/>
              <w:jc w:val="right"/>
            </w:pPr>
            <w:r>
              <w:t xml:space="preserve">-0.5884</w:t>
            </w:r>
          </w:p>
        </w:tc>
        <w:tc>
          <w:p>
            <w:pPr>
              <w:pStyle w:val="Compact"/>
              <w:jc w:val="right"/>
            </w:pPr>
            <w:r>
              <w:t xml:space="preserve">0.5586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-0.1259</w:t>
            </w:r>
          </w:p>
        </w:tc>
        <w:tc>
          <w:p>
            <w:pPr>
              <w:pStyle w:val="Compact"/>
              <w:jc w:val="right"/>
            </w:pPr>
            <w:r>
              <w:t xml:space="preserve">0.1051</w:t>
            </w:r>
          </w:p>
        </w:tc>
        <w:tc>
          <w:p>
            <w:pPr>
              <w:pStyle w:val="Compact"/>
              <w:jc w:val="right"/>
            </w:pPr>
            <w:r>
              <w:t xml:space="preserve">-1.1973</w:t>
            </w:r>
          </w:p>
        </w:tc>
        <w:tc>
          <w:p>
            <w:pPr>
              <w:pStyle w:val="Compact"/>
              <w:jc w:val="right"/>
            </w:pPr>
            <w:r>
              <w:t xml:space="preserve">0.2362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FOЮФО:IRDC.2012</w:t>
            </w:r>
          </w:p>
        </w:tc>
        <w:tc>
          <w:p>
            <w:pPr>
              <w:pStyle w:val="Compact"/>
              <w:jc w:val="right"/>
            </w:pPr>
            <w:r>
              <w:t xml:space="preserve">0.1549</w:t>
            </w:r>
          </w:p>
        </w:tc>
        <w:tc>
          <w:p>
            <w:pPr>
              <w:pStyle w:val="Compact"/>
              <w:jc w:val="right"/>
            </w:pPr>
            <w:r>
              <w:t xml:space="preserve">0.1572</w:t>
            </w:r>
          </w:p>
        </w:tc>
        <w:tc>
          <w:p>
            <w:pPr>
              <w:pStyle w:val="Compact"/>
              <w:jc w:val="right"/>
            </w:pPr>
            <w:r>
              <w:t xml:space="preserve">0.9853</w:t>
            </w:r>
          </w:p>
        </w:tc>
        <w:tc>
          <w:p>
            <w:pPr>
              <w:pStyle w:val="Compact"/>
              <w:jc w:val="right"/>
            </w:pPr>
            <w:r>
              <w:t xml:space="preserve">0.3286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(96.4%).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0.942.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2.1863</w:t>
            </w:r>
          </w:p>
        </w:tc>
        <w:tc>
          <w:p>
            <w:pPr>
              <w:pStyle w:val="Compact"/>
              <w:jc w:val="right"/>
            </w:pPr>
            <w:r>
              <w:t xml:space="preserve">0.3724</w:t>
            </w:r>
          </w:p>
        </w:tc>
        <w:tc>
          <w:p>
            <w:pPr>
              <w:pStyle w:val="Compact"/>
              <w:jc w:val="right"/>
            </w:pPr>
            <w:r>
              <w:t xml:space="preserve">5.8712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  <w:tc>
          <w:p>
            <w:pPr>
              <w:pStyle w:val="Compact"/>
              <w:jc w:val="right"/>
            </w:pPr>
            <w:r>
              <w:t xml:space="preserve">0.0416</w:t>
            </w:r>
          </w:p>
        </w:tc>
        <w:tc>
          <w:p>
            <w:pPr>
              <w:pStyle w:val="Compact"/>
              <w:jc w:val="right"/>
            </w:pPr>
            <w:r>
              <w:t xml:space="preserve">20.3387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0.1249</w:t>
            </w:r>
          </w:p>
        </w:tc>
        <w:tc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p>
            <w:pPr>
              <w:pStyle w:val="Compact"/>
              <w:jc w:val="right"/>
            </w:pPr>
            <w:r>
              <w:t xml:space="preserve">5.3878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FOСКФО.RKBS.2012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0.942).</w:t>
      </w:r>
    </w:p>
    <w:p>
      <w:pPr>
        <w:pStyle w:val="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628.15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628.15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1192.44</w:t>
            </w:r>
          </w:p>
        </w:tc>
        <w:tc>
          <w:p>
            <w:pPr>
              <w:pStyle w:val="Compact"/>
              <w:jc w:val="right"/>
            </w:pPr>
            <w:r>
              <w:t xml:space="preserve">118179.789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12.70829 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первая и вторая модель;</w:t>
      </w:r>
      <w:r>
        <w:t xml:space="preserve"> </w:t>
      </w:r>
      <w:r>
        <w:t xml:space="preserve">По столбцу F.расч - первая и вторая;</w:t>
      </w:r>
      <w:r>
        <w:t xml:space="preserve"> </w:t>
      </w:r>
      <w:r>
        <w:t xml:space="preserve">По минимальной Стандартной ошибке - первая и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G</m:t>
        </m:r>
        <m:r>
          <m:t>R</m:t>
        </m:r>
        <m:r>
          <m:t>P</m:t>
        </m:r>
        <m:r>
          <m:t>.2013</m:t>
        </m:r>
        <m:r>
          <m:t>=</m:t>
        </m:r>
        <m:r>
          <m:t>2.1863</m:t>
        </m:r>
        <m:r>
          <m:t>+</m:t>
        </m:r>
        <m:r>
          <m:t>0.8454</m:t>
        </m:r>
        <m:r>
          <m:t>⋅</m:t>
        </m:r>
        <m:r>
          <m:t>I</m:t>
        </m:r>
        <m:r>
          <m:t>F</m:t>
        </m:r>
        <m:r>
          <m:t>A</m:t>
        </m:r>
        <m:r>
          <m:t>.2012</m:t>
        </m:r>
        <m:r>
          <m:t>+</m:t>
        </m:r>
        <m:r>
          <m:t>0.1249</m:t>
        </m:r>
        <m:r>
          <m:t>⋅</m:t>
        </m:r>
        <m:r>
          <m:t>I</m:t>
        </m:r>
        <m:r>
          <m:t>R</m:t>
        </m:r>
        <m:r>
          <m:t>D</m:t>
        </m:r>
        <m:r>
          <m:t>C</m:t>
        </m:r>
        <m:r>
          <m:t>.2012</m:t>
        </m:r>
      </m:oMath>
    </w:p>
    <w:p>
      <w:pPr>
        <w:pStyle w:val="BodyText"/>
      </w:pPr>
      <w:r>
        <w:t xml:space="preserve">Сохраним нужные данные для дальнейших лабораторных и пойдём спатеньки uwu.</w:t>
      </w:r>
    </w:p>
    <w:sectPr w:rsidR="00145568" w:rsidRPr="0062155F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F4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6B0E1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6B0E14"/>
    <w:rPr>
      <w:rFonts w:ascii="Arial Black" w:eastAsiaTheme="majorEastAsia" w:hAnsi="Arial Black" w:cstheme="majorBidi"/>
      <w:color w:val="A8D08D" w:themeColor="accent6" w:themeTint="99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3F4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Никишов Дмитрий</dc:creator>
  <cp:keywords/>
  <dcterms:created xsi:type="dcterms:W3CDTF">2020-12-27T00:30:46Z</dcterms:created>
  <dcterms:modified xsi:type="dcterms:W3CDTF">2020-12-27T00:30:46Z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/>
  </property>
</Properties>
</file>