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Ata de Reunião – DetiBuddy</w:t>
      </w:r>
    </w:p>
    <w:p>
      <w:pPr/>
      <w:r>
        <w:rPr>
          <w:b/>
        </w:rPr>
        <w:t>Reunião n.º:</w:t>
      </w:r>
      <w:r>
        <w:t xml:space="preserve"> 3</w:t>
      </w:r>
      <w:r>
        <w:br/>
      </w:r>
      <w:r>
        <w:rPr>
          <w:b/>
        </w:rPr>
        <w:t>Data:</w:t>
      </w:r>
      <w:r>
        <w:t xml:space="preserve"> 01/10/2026</w:t>
      </w:r>
      <w:r>
        <w:br/>
      </w:r>
      <w:r>
        <w:rPr>
          <w:b/>
        </w:rPr>
        <w:t>Hora:</w:t>
      </w:r>
      <w:r>
        <w:t xml:space="preserve"> [a preencher]</w:t>
      </w:r>
      <w:r>
        <w:br/>
      </w:r>
      <w:r>
        <w:rPr>
          <w:b/>
        </w:rPr>
        <w:t>Modalidade:</w:t>
      </w:r>
      <w:r>
        <w:t xml:space="preserve"> ☒ Presencial ☐ Online ☐ Híbrida</w:t>
      </w:r>
      <w:r>
        <w:br/>
      </w:r>
      <w:r>
        <w:rPr>
          <w:b/>
        </w:rPr>
        <w:t>Local / Link:</w:t>
      </w:r>
      <w:r>
        <w:t xml:space="preserve"> [a preencher]</w:t>
      </w:r>
      <w:r>
        <w:br/>
      </w:r>
      <w:r>
        <w:rPr>
          <w:b/>
        </w:rPr>
        <w:t>Secretário(a) da ata:</w:t>
      </w:r>
      <w:r>
        <w:t xml:space="preserve"> [a preencher]</w:t>
      </w:r>
      <w:r>
        <w:br/>
      </w:r>
      <w:r>
        <w:rPr>
          <w:b/>
        </w:rPr>
        <w:t>Moderador(a):</w:t>
      </w:r>
      <w:r>
        <w:t xml:space="preserve"> [a preencher]</w:t>
      </w:r>
    </w:p>
    <w:p>
      <w:pPr>
        <w:pStyle w:val="Heading2"/>
      </w:pPr>
      <w:r>
        <w:t xml:space="preserve">1. Presenças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Nome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Função / 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Presença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Observações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Arthur Haerdy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Team Manager · Backend · AI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Samuel Ramos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Architect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Lisle Faria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DevOps Master · Frontend · UI/UX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Geovana Mayer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Tester · Backend · API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Francisco Amaro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Product Owner · General Implementation and integration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Mário Antunes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Professor orientador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☒ Presencial ☐ Online ☐ Ausente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</w:r>
          </w:p>
        </w:tc>
      </w:tr>
    </w:tbl>
    <w:p>
      <w:pPr/>
      <w:r>
        <w:rPr>
          <w:b/>
        </w:rPr>
        <w:t>Ausências justificadas:</w:t>
      </w:r>
      <w:r>
        <w:t xml:space="preserve"> [a confirmar]</w:t>
      </w:r>
      <w:r>
        <w:br/>
      </w:r>
      <w:r>
        <w:rPr>
          <w:b/>
        </w:rPr>
        <w:t>Convidados externos:</w:t>
      </w:r>
      <w:r>
        <w:t xml:space="preserve"> [a confirmar]</w:t>
      </w:r>
    </w:p>
    <w:p>
      <w:pPr>
        <w:pStyle w:val="Heading2"/>
      </w:pPr>
      <w:r>
        <w:t xml:space="preserve">2. Ordem de Trabalhos (Agenda)</w:t>
      </w:r>
    </w:p>
    <w:p>
      <w:pPr>
        <w:pStyle w:val="ListParagraph"/>
        <w:numPr>
          <w:ilvl w:val="0"/>
          <w:numId w:val="2"/>
        </w:numPr>
      </w:pPr>
      <w:r>
        <w:t>Organização do repositório e práticas de qualidade</w:t>
      </w:r>
    </w:p>
    <w:p>
      <w:pPr>
        <w:pStyle w:val="ListParagraph"/>
        <w:numPr>
          <w:ilvl w:val="0"/>
          <w:numId w:val="2"/>
        </w:numPr>
      </w:pPr>
      <w:r>
        <w:t>Arquitetura do agente e integração através de MCP</w:t>
      </w:r>
    </w:p>
    <w:p>
      <w:pPr>
        <w:pStyle w:val="ListParagraph"/>
        <w:numPr>
          <w:ilvl w:val="0"/>
          <w:numId w:val="2"/>
        </w:numPr>
      </w:pPr>
      <w:r>
        <w:t>Interfaces e funcionalidades propostas para o MVP</w:t>
      </w:r>
    </w:p>
    <w:p>
      <w:pPr>
        <w:pStyle w:val="ListParagraph"/>
        <w:numPr>
          <w:ilvl w:val="0"/>
          <w:numId w:val="2"/>
        </w:numPr>
      </w:pPr>
      <w:r>
        <w:t>Planeamento das fases de implementação</w:t>
      </w:r>
    </w:p>
    <w:p>
      <w:pPr>
        <w:pStyle w:val="Heading2"/>
      </w:pPr>
      <w:r>
        <w:t xml:space="preserve">3. Aprovação da Ata Anterior</w:t>
      </w:r>
    </w:p>
    <w:p>
      <w:pPr/>
      <w:r>
        <w:rPr>
          <w:b/>
        </w:rPr>
        <w:t>Aprovação da ata anterior:</w:t>
      </w:r>
      <w:r>
        <w:t xml:space="preserve"> [a confirmar; não registada na informação disponibilizada]</w:t>
      </w:r>
    </w:p>
    <w:p>
      <w:pPr>
        <w:pStyle w:val="Heading2"/>
      </w:pPr>
      <w:r>
        <w:t xml:space="preserve">4. Ponto de Situação</w:t>
      </w:r>
    </w:p>
    <w:p>
      <w:pPr/>
      <w:r>
        <w:rPr>
          <w:b/>
        </w:rPr>
        <w:t>Sprint / Fase atual:</w:t>
      </w:r>
      <w:r>
        <w:t xml:space="preserve"> Especificação e planeamento técnico</w:t>
      </w:r>
      <w:r>
        <w:br/>
      </w:r>
      <w:r>
        <w:rPr>
          <w:b/>
        </w:rPr>
        <w:t>Objetivo do sprint:</w:t>
      </w:r>
      <w:r>
        <w:t xml:space="preserve"> Analisar as orientações técnicas e organizar o desenvolvimento do DetiBuddy.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Tarefa / 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Orientações técnicas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Registadas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Sintetizadas nas notas da reunião.</w:t>
            </w:r>
          </w:p>
        </w:tc>
      </w:tr>
      <w:tr>
        <w:trPr>
          <w:cantSplit/>
        </w:trPr>
        <w:tc>
          <w:tcPr>
            <w:tcW w:w="2340" w:type="dxa"/>
          </w:tcPr>
          <w:p>
            <w:r>
              <w:rPr>
                <w:sz w:val="18"/>
              </w:rPr>
              <w:t>Plano de implementação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Em análise</w:t>
            </w:r>
          </w:p>
        </w:tc>
        <w:tc>
          <w:tcPr>
            <w:tcW w:w="2340" w:type="dxa"/>
          </w:tcPr>
          <w:p>
            <w:r>
              <w:rPr>
                <w:sz w:val="18"/>
              </w:rPr>
              <w:t>Fases sugeridas; distribuição e prazos por definir.</w:t>
            </w:r>
          </w:p>
        </w:tc>
      </w:tr>
    </w:tbl>
    <w:p>
      <w:pPr/>
      <w:r>
        <w:rPr>
          <w:b/>
        </w:rPr>
        <w:t xml:space="preserve">Bloqueios / impedimentos:</w:t>
      </w:r>
    </w:p>
    <w:p>
      <w:pPr>
        <w:pStyle w:val="ListParagraph"/>
        <w:numPr>
          <w:ilvl w:val="0"/>
          <w:numId w:val="3"/>
        </w:numPr>
      </w:pPr>
      <w:r>
        <w:t>Não foram indicados bloqueios na informação disponibilizada.</w:t>
      </w:r>
    </w:p>
    <w:p>
      <w:pPr/>
      <w:r>
        <w:rPr>
          <w:b/>
        </w:rPr>
        <w:t xml:space="preserve">Riscos identificados:</w:t>
      </w:r>
    </w:p>
    <w:p>
      <w:pPr>
        <w:pStyle w:val="ListParagraph"/>
        <w:numPr>
          <w:ilvl w:val="0"/>
          <w:numId w:val="4"/>
        </w:numPr>
      </w:pPr>
      <w:r>
        <w:t>Acesso e disponibilidade dos serviços externos a confirmar na análise de viabilidade das integrações.</w:t>
      </w:r>
    </w:p>
    <w:p>
      <w:pPr>
        <w:pStyle w:val="Heading2"/>
      </w:pPr>
      <w:r>
        <w:t xml:space="preserve">5. Discussão e Decisões</w:t>
      </w:r>
    </w:p>
    <w:p>
      <w:pPr>
        <w:pStyle w:val="Heading3"/>
      </w:pPr>
      <w:r>
        <w:t>5.1 Engenharia de software e qualidade</w:t>
      </w:r>
    </w:p>
    <w:p>
      <w:pPr/>
      <w:r>
        <w:rPr>
          <w:b/>
        </w:rPr>
        <w:t>Resumo da discussão:</w:t>
      </w:r>
      <w:r>
        <w:t xml:space="preserve"> Foram registadas orientações para a configuração do repositório com .gitignore, pyproject.toml, LICENSE, CITATION.cff e referências bibliográficas. Foram abordados pre-commit, Ruff, Basedpyright e Vulture, bem como testes unitários e de integração com medição de cobertura. Os apontamentos incluem GitHub Actions e publicação no PyPI com Twine.</w:t>
      </w:r>
      <w:r>
        <w:br/>
      </w:r>
      <w:r>
        <w:rPr>
          <w:b/>
        </w:rPr>
        <w:t>Decisão:</w:t>
      </w:r>
      <w:r>
        <w:t xml:space="preserve"> Utilizar estas orientações como referência para o planeamento da infraestrutura e dos mecanismos de qualidade.</w:t>
      </w:r>
      <w:r>
        <w:br/>
      </w:r>
      <w:r>
        <w:rPr>
          <w:b/>
        </w:rPr>
        <w:t>Justificação técnica:</w:t>
      </w:r>
      <w:r>
        <w:t xml:space="preserve"> As verificações automáticas e os testes contribuem para a consistência do código e para a deteção de erros.</w:t>
      </w:r>
    </w:p>
    <w:p>
      <w:pPr>
        <w:pStyle w:val="Heading3"/>
      </w:pPr>
      <w:r>
        <w:t>5.2 Agente e integrações</w:t>
      </w:r>
    </w:p>
    <w:p>
      <w:pPr/>
      <w:r>
        <w:rPr>
          <w:b/>
        </w:rPr>
        <w:t>Resumo da discussão:</w:t>
      </w:r>
      <w:r>
        <w:t xml:space="preserve"> Foi abordada a utilização de MCP para separar o agente das ferramentas e dos serviços externos, com modelos adequados a chamadas a funções, como Gemma ou Qwen, e ligação ao Skynet ou a instâncias locais com API compatível com a OpenAI. Foi também discutida a recolha de métricas de acerto, latência e erro.</w:t>
      </w:r>
      <w:r>
        <w:br/>
      </w:r>
      <w:r>
        <w:rPr>
          <w:b/>
        </w:rPr>
        <w:t>Decisão:</w:t>
      </w:r>
      <w:r>
        <w:t xml:space="preserve"> Considerar uma arquitetura modular baseada em MCP e avaliar a fiabilidade das chamadas a ferramentas.</w:t>
      </w:r>
      <w:r>
        <w:br/>
      </w:r>
      <w:r>
        <w:rPr>
          <w:b/>
        </w:rPr>
        <w:t>Justificação técnica:</w:t>
      </w:r>
      <w:r>
        <w:t xml:space="preserve"> A separação entre o agente e as integrações facilita a extensibilidade e a avaliação do sistema.</w:t>
      </w:r>
    </w:p>
    <w:p>
      <w:pPr>
        <w:pStyle w:val="Heading3"/>
      </w:pPr>
      <w:r>
        <w:t>5.3 Interfaces e casos de uso propostos</w:t>
      </w:r>
    </w:p>
    <w:p>
      <w:pPr/>
      <w:r>
        <w:rPr>
          <w:b/>
        </w:rPr>
        <w:t>Resumo da discussão:</w:t>
      </w:r>
      <w:r>
        <w:t xml:space="preserve"> Os apontamentos incluem um backend assíncrono em FastAPI, bots de Discord ou Slack, integração com Microsoft 365/Outlook e consulta de atividade no GitHub para lembretes. Foram ainda abordadas a extração de ementas e ocupação de parques com Playwright e a combinação de horário, localização, meteorologia e rotas.</w:t>
      </w:r>
      <w:r>
        <w:br/>
      </w:r>
      <w:r>
        <w:rPr>
          <w:b/>
        </w:rPr>
        <w:t>Decisão:</w:t>
      </w:r>
      <w:r>
        <w:t xml:space="preserve"> Registar estas funcionalidades como propostas a analisar e detalhar na documentação, sem considerar a lista uma aprovação definitiva de todo o âmbito do MVP.</w:t>
      </w:r>
      <w:r>
        <w:br/>
      </w:r>
      <w:r>
        <w:rPr>
          <w:b/>
        </w:rPr>
        <w:t>Justificação técnica:</w:t>
      </w:r>
      <w:r>
        <w:t xml:space="preserve"> A viabilidade depende do acesso aos serviços, da disponibilidade dos dados e da priorização das funcionalidades.</w:t>
      </w:r>
    </w:p>
    <w:p>
      <w:pPr>
        <w:pStyle w:val="Heading3"/>
      </w:pPr>
      <w:r>
        <w:t>5.4 Fases de implementação</w:t>
      </w:r>
    </w:p>
    <w:p>
      <w:pPr/>
      <w:r>
        <w:rPr>
          <w:b/>
        </w:rPr>
        <w:t>Resumo da discussão:</w:t>
      </w:r>
      <w:r>
        <w:t xml:space="preserve"> Foi sugerida uma sequência de trabalho: infraestrutura e qualidade; gestão do navegador e extração de dados; servidores MCP e orquestração do agente; interfaces e alertas.</w:t>
      </w:r>
      <w:r>
        <w:br/>
      </w:r>
      <w:r>
        <w:rPr>
          <w:b/>
        </w:rPr>
        <w:t>Decisão:</w:t>
      </w:r>
      <w:r>
        <w:t xml:space="preserve"> Usar a sequência sugerida como referência para organizar o desenvolvimento.</w:t>
      </w:r>
      <w:r>
        <w:br/>
      </w:r>
      <w:r>
        <w:rPr>
          <w:b/>
        </w:rPr>
        <w:t>Justificação técnica:</w:t>
      </w:r>
      <w:r>
        <w:t xml:space="preserve"> A implementação faseada permite preparar a infraestrutura antes de integrar o agente e os canais de interação.</w:t>
      </w:r>
    </w:p>
    <w:p>
      <w:pPr>
        <w:pStyle w:val="Heading2"/>
      </w:pPr>
      <w:r>
        <w:t xml:space="preserve">6. Ações a Realizar (Action Items)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4"/>
        <w:gridCol w:w="3960"/>
        <w:gridCol w:w="1440"/>
        <w:gridCol w:w="1008"/>
        <w:gridCol w:w="1224"/>
        <w:gridCol w:w="1224"/>
      </w:tblGrid>
      <w:tr>
        <w:trPr>
          <w:tblHeader/>
          <w:cantSplit/>
        </w:trPr>
        <w:tc>
          <w:tcPr>
            <w:tcW w:w="504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396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1008" w:type="dxa"/>
            <w:shd w:val="clear" w:color="auto" w:fill="F2F2F2"/>
          </w:tcPr>
          <w:p>
            <w:pPr/>
            <w:r>
              <w:t xml:space="preserve">Prazo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Prioridade</w:t>
            </w:r>
          </w:p>
        </w:tc>
        <w:tc>
          <w:tcPr>
            <w:tcW w:w="1224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Consolidar as orientações técnicas na documentação do projeto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Analisar a viabilidade e a prioridade dos casos de uso propostos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Planear a configuração do repositório e das verificações de qualidade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  <w:tr>
        <w:trPr>
          <w:cantSplit/>
        </w:trPr>
        <w:tc>
          <w:tcPr>
            <w:tcW w:w="504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w="3960" w:type="dxa"/>
          </w:tcPr>
          <w:p>
            <w:r>
              <w:rPr>
                <w:sz w:val="18"/>
              </w:rPr>
              <w:t>Detalhar as fases de implementação e respetivas tarefas</w:t>
            </w:r>
          </w:p>
        </w:tc>
        <w:tc>
          <w:tcPr>
            <w:tcW w:w="1440" w:type="dxa"/>
          </w:tcPr>
          <w:p>
            <w:r>
              <w:rPr>
                <w:sz w:val="18"/>
              </w:rPr>
              <w:t>Equipa</w:t>
            </w:r>
          </w:p>
        </w:tc>
        <w:tc>
          <w:tcPr>
            <w:tcW w:w="1008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A definir</w:t>
            </w:r>
          </w:p>
        </w:tc>
        <w:tc>
          <w:tcPr>
            <w:tcW w:w="1224" w:type="dxa"/>
          </w:tcPr>
          <w:p>
            <w:r>
              <w:rPr>
                <w:sz w:val="18"/>
              </w:rPr>
              <w:t>☐ Aberta</w:t>
            </w:r>
          </w:p>
        </w:tc>
      </w:tr>
    </w:tbl>
    <w:p>
      <w:pPr>
        <w:keepNext/>
      </w:pPr>
      <w:r>
        <w:rPr>
          <w:b/>
        </w:rPr>
        <w:t xml:space="preserve">Ações pendentes da reunião anterior: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Responsável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atual</w:t>
            </w:r>
          </w:p>
        </w:tc>
      </w:tr>
      <w:tr>
        <w:trPr>
          <w:cantSplit/>
        </w:trPr>
        <w:tc>
          <w:tcPr>
            <w:tcW w:w="3120" w:type="dxa"/>
          </w:tcPr>
          <w:p>
            <w:r>
              <w:rPr>
                <w:sz w:val="18"/>
              </w:rPr>
              <w:t>Não especificadas na informação disponibilizada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  <w:tc>
          <w:tcPr>
            <w:tcW w:w="3120" w:type="dxa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2"/>
      </w:pPr>
      <w:r>
        <w:t xml:space="preserve">7. Assuntos Gerais</w:t>
      </w:r>
    </w:p>
    <w:p>
      <w:pPr>
        <w:pStyle w:val="ListParagraph"/>
        <w:numPr>
          <w:ilvl w:val="0"/>
          <w:numId w:val="5"/>
        </w:numPr>
      </w:pPr>
      <w:r>
        <w:t>As tecnologias e funcionalidades referidas nos apontamentos constituem orientações de trabalho. A arquitetura e o âmbito deverão acompanhar a evolução do projeto.</w:t>
      </w:r>
    </w:p>
    <w:p>
      <w:pPr>
        <w:pStyle w:val="Heading2"/>
      </w:pPr>
      <w:r>
        <w:t xml:space="preserve">8. Próxima Reunião</w:t>
      </w:r>
    </w:p>
    <w:p>
      <w:pPr/>
      <w:r>
        <w:rPr>
          <w:b/>
        </w:rPr>
        <w:t>Data:</w:t>
      </w:r>
      <w:r>
        <w:t xml:space="preserve"> [a confirmar]</w:t>
      </w:r>
      <w:r>
        <w:br/>
      </w:r>
      <w:r>
        <w:rPr>
          <w:b/>
        </w:rPr>
        <w:t>Hora:</w:t>
      </w:r>
      <w:r>
        <w:t xml:space="preserve"> [a confirmar]</w:t>
      </w:r>
      <w:r>
        <w:br/>
      </w:r>
      <w:r>
        <w:rPr>
          <w:b/>
        </w:rPr>
        <w:t>Modalidade:</w:t>
      </w:r>
      <w:r>
        <w:t xml:space="preserve"> ☐ Presencial ☐ Online ☐ Híbrida [a confirmar]</w:t>
      </w:r>
      <w:r>
        <w:br/>
      </w:r>
      <w:r>
        <w:rPr>
          <w:b/>
        </w:rPr>
        <w:t>Local / Link:</w:t>
      </w:r>
      <w:r>
        <w:t xml:space="preserve"> [a confirmar]</w:t>
      </w:r>
      <w:r>
        <w:br/>
      </w:r>
      <w:r>
        <w:rPr>
          <w:b/>
        </w:rPr>
        <w:t>Pontos a preparar:</w:t>
      </w:r>
      <w:r>
        <w:t xml:space="preserve"> Materiais relativos às ações a realizar.</w:t>
      </w:r>
    </w:p>
    <w:p>
      <w:pPr>
        <w:pStyle w:val="Heading2"/>
      </w:pPr>
      <w:r>
        <w:t xml:space="preserve">9. Anexos e Referências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Especificação e Planeamento do Projeto:</w:t>
      </w:r>
      <w:r>
        <w:t xml:space="preserve"> DetiBuddy — especifica_o_do_projeto_e_notas_de_reuni_o.md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Outras referências:</w:t>
      </w:r>
      <w:r>
        <w:t xml:space="preserve"> não indicadas.</w:t>
      </w:r>
    </w:p>
    <w:p>
      <w:pPr>
        <w:pBdr>
          <w:bottom w:val="single" w:sz="6" w:space="1" w:color="auto"/>
        </w:pBdr>
      </w:pPr>
    </w:p>
    <w:p>
      <w:pPr/>
      <w:r>
        <w:rPr>
          <w:b/>
        </w:rPr>
        <w:t>Ata redigida por:</w:t>
      </w:r>
      <w:r>
        <w:t xml:space="preserve"> Francisco Amaro em 01/10/2026</w:t>
      </w:r>
      <w:r>
        <w:br/>
      </w:r>
      <w:r>
        <w:rPr>
          <w:b/>
        </w:rPr>
        <w:t>Validada por:</w:t>
      </w:r>
      <w:r>
        <w:t xml:space="preserve"> [a preencher] em [a preencher]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Ata de Reunião – [Nome do Projeto]</dc:title>
  <dc:description>Claude Docs node/914cf19b-aec9@1 docx-w6</dc:description>
  <cp:revision>1</cp:revision>
</cp:coreProperties>
</file>