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915" w:type="dxa"/>
        <w:tblInd w:w="-5" w:type="dxa"/>
        <w:tblLook w:val="04A0" w:firstRow="1" w:lastRow="0" w:firstColumn="1" w:lastColumn="0" w:noHBand="0" w:noVBand="1"/>
      </w:tblPr>
      <w:tblGrid>
        <w:gridCol w:w="1843"/>
        <w:gridCol w:w="7229"/>
        <w:gridCol w:w="1843"/>
      </w:tblGrid>
      <w:tr w:rsidR="00B217E3" w:rsidRPr="00B217E3" w14:paraId="7073CE0F" w14:textId="77777777" w:rsidTr="00DF62BA">
        <w:tc>
          <w:tcPr>
            <w:tcW w:w="1843" w:type="dxa"/>
          </w:tcPr>
          <w:p w14:paraId="7ABF7B82" w14:textId="77777777" w:rsidR="00B217E3" w:rsidRPr="00B217E3" w:rsidRDefault="00B217E3" w:rsidP="008357C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217E3">
              <w:rPr>
                <w:rFonts w:cstheme="minorHAnsi"/>
                <w:b/>
                <w:bCs/>
                <w:sz w:val="20"/>
                <w:szCs w:val="20"/>
              </w:rPr>
              <w:t>Structures de données</w:t>
            </w:r>
          </w:p>
        </w:tc>
        <w:tc>
          <w:tcPr>
            <w:tcW w:w="7229" w:type="dxa"/>
          </w:tcPr>
          <w:p w14:paraId="1EF2203E" w14:textId="77777777" w:rsidR="00B217E3" w:rsidRDefault="00310277" w:rsidP="008357C9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S</w:t>
            </w:r>
            <w:r w:rsidR="00B217E3" w:rsidRPr="00B217E3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tructures hiérarchiques</w:t>
            </w:r>
            <w:r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 : les arbres binaires</w:t>
            </w:r>
          </w:p>
          <w:p w14:paraId="49CBA14C" w14:textId="77777777" w:rsidR="007072F5" w:rsidRPr="007072F5" w:rsidRDefault="007072F5" w:rsidP="008357C9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TP</w:t>
            </w:r>
          </w:p>
        </w:tc>
        <w:tc>
          <w:tcPr>
            <w:tcW w:w="1843" w:type="dxa"/>
          </w:tcPr>
          <w:p w14:paraId="23F7B1FC" w14:textId="77777777" w:rsidR="00B217E3" w:rsidRPr="00B217E3" w:rsidRDefault="00B217E3" w:rsidP="008357C9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B217E3">
              <w:rPr>
                <w:rFonts w:cstheme="minorHAnsi"/>
                <w:b/>
                <w:bCs/>
                <w:sz w:val="20"/>
                <w:szCs w:val="20"/>
              </w:rPr>
              <w:t>Terminale NSI</w:t>
            </w:r>
          </w:p>
        </w:tc>
      </w:tr>
    </w:tbl>
    <w:p w14:paraId="25B51A86" w14:textId="77777777" w:rsidR="003B6B67" w:rsidRDefault="003B6B67" w:rsidP="00B45DB9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FC750EF" w14:textId="38029B06" w:rsidR="00DF62BA" w:rsidRDefault="00CC4540" w:rsidP="00B45DB9">
      <w:pPr>
        <w:autoSpaceDE w:val="0"/>
        <w:autoSpaceDN w:val="0"/>
        <w:adjustRightInd w:val="0"/>
        <w:spacing w:after="0" w:line="240" w:lineRule="auto"/>
        <w:rPr>
          <w:b/>
          <w:bCs/>
          <w:noProof/>
          <w:sz w:val="20"/>
          <w:szCs w:val="20"/>
        </w:rPr>
      </w:pPr>
      <w:r w:rsidRPr="004A17CB">
        <w:rPr>
          <w:noProof/>
          <w:sz w:val="20"/>
          <w:szCs w:val="20"/>
        </w:rPr>
        <w:t>Pour ce TP, on pourra s’appuyer sur la v</w:t>
      </w:r>
      <w:r w:rsidR="00DF62BA" w:rsidRPr="004A17CB">
        <w:rPr>
          <w:noProof/>
          <w:sz w:val="20"/>
          <w:szCs w:val="20"/>
        </w:rPr>
        <w:t xml:space="preserve">idéo d’introduction accessible </w:t>
      </w:r>
      <w:r w:rsidR="004A17CB" w:rsidRPr="004A17CB">
        <w:rPr>
          <w:noProof/>
          <w:sz w:val="20"/>
          <w:szCs w:val="20"/>
        </w:rPr>
        <w:t>au lien suivant</w:t>
      </w:r>
      <w:r w:rsidR="00381B90" w:rsidRPr="004A17CB">
        <w:rPr>
          <w:noProof/>
          <w:sz w:val="20"/>
          <w:szCs w:val="20"/>
        </w:rPr>
        <w:t xml:space="preserve"> (en enlevant bien sûr</w:t>
      </w:r>
      <w:r w:rsidR="004A17CB">
        <w:rPr>
          <w:noProof/>
          <w:sz w:val="20"/>
          <w:szCs w:val="20"/>
        </w:rPr>
        <w:t xml:space="preserve"> le son</w:t>
      </w:r>
      <w:r w:rsidR="004A17CB" w:rsidRPr="004A17CB">
        <w:rPr>
          <w:noProof/>
          <w:sz w:val="20"/>
          <w:szCs w:val="20"/>
        </w:rPr>
        <w:t>, à partir de 08:00</w:t>
      </w:r>
      <w:r w:rsidR="00381B90" w:rsidRPr="004A17CB">
        <w:rPr>
          <w:noProof/>
          <w:sz w:val="20"/>
          <w:szCs w:val="20"/>
        </w:rPr>
        <w:t>).</w:t>
      </w:r>
      <w:r w:rsidR="00DF62BA" w:rsidRPr="004A17CB">
        <w:rPr>
          <w:noProof/>
          <w:sz w:val="20"/>
          <w:szCs w:val="20"/>
        </w:rPr>
        <w:t xml:space="preserve"> </w:t>
      </w:r>
      <w:r w:rsidR="004A17CB" w:rsidRPr="004A17CB">
        <w:rPr>
          <w:noProof/>
          <w:sz w:val="20"/>
          <w:szCs w:val="20"/>
        </w:rPr>
        <w:br/>
      </w:r>
      <w:hyperlink r:id="rId8" w:history="1">
        <w:r w:rsidR="004A17CB" w:rsidRPr="00F059DA">
          <w:rPr>
            <w:rStyle w:val="Lienhypertexte"/>
            <w:b/>
            <w:bCs/>
            <w:noProof/>
            <w:sz w:val="20"/>
            <w:szCs w:val="20"/>
          </w:rPr>
          <w:t>https://dane.web.ac-grenoble.fr/outils-numeriques-0/decoupeur-de-video#Wz5KTtG66mg</w:t>
        </w:r>
      </w:hyperlink>
      <w:r w:rsidR="004A17CB">
        <w:rPr>
          <w:b/>
          <w:bCs/>
          <w:noProof/>
          <w:sz w:val="20"/>
          <w:szCs w:val="20"/>
        </w:rPr>
        <w:t xml:space="preserve"> </w:t>
      </w:r>
    </w:p>
    <w:p w14:paraId="0C78BAE4" w14:textId="77777777" w:rsidR="00CC4540" w:rsidRDefault="00CC4540" w:rsidP="00B45DB9">
      <w:pPr>
        <w:autoSpaceDE w:val="0"/>
        <w:autoSpaceDN w:val="0"/>
        <w:adjustRightInd w:val="0"/>
        <w:spacing w:after="0" w:line="240" w:lineRule="auto"/>
        <w:rPr>
          <w:b/>
          <w:bCs/>
          <w:noProof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756EBD" w:rsidRPr="007E10E2" w14:paraId="3E47CF1C" w14:textId="77777777" w:rsidTr="00C32E52">
        <w:tc>
          <w:tcPr>
            <w:tcW w:w="10904" w:type="dxa"/>
          </w:tcPr>
          <w:p w14:paraId="0EA67D0C" w14:textId="77777777" w:rsidR="00756EBD" w:rsidRPr="007E10E2" w:rsidRDefault="00756EBD" w:rsidP="00C32E5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E10E2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21063B9C" wp14:editId="07299C54">
                  <wp:extent cx="1041931" cy="215275"/>
                  <wp:effectExtent l="0" t="0" r="635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91" cy="23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7DC06" w14:textId="77777777" w:rsidR="00756EBD" w:rsidRDefault="00756EBD" w:rsidP="00C32E5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E10E2">
              <w:rPr>
                <w:rFonts w:cstheme="minorHAnsi"/>
                <w:sz w:val="20"/>
                <w:szCs w:val="20"/>
              </w:rPr>
              <w:t xml:space="preserve">Un </w:t>
            </w:r>
            <w:r w:rsidRPr="007E10E2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arbre binaire</w:t>
            </w:r>
            <w:r w:rsidRPr="007E10E2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Pr="007E10E2">
              <w:rPr>
                <w:rFonts w:cstheme="minorHAnsi"/>
                <w:sz w:val="20"/>
                <w:szCs w:val="20"/>
              </w:rPr>
              <w:t xml:space="preserve">est défini </w:t>
            </w:r>
            <w:r>
              <w:rPr>
                <w:rFonts w:cstheme="minorHAnsi"/>
                <w:sz w:val="20"/>
                <w:szCs w:val="20"/>
              </w:rPr>
              <w:t>ainsi</w:t>
            </w:r>
            <w:r w:rsidRPr="007E10E2">
              <w:rPr>
                <w:rFonts w:cstheme="minorHAnsi"/>
                <w:sz w:val="20"/>
                <w:szCs w:val="20"/>
              </w:rPr>
              <w:t xml:space="preserve"> : </w:t>
            </w:r>
          </w:p>
          <w:p w14:paraId="4260A187" w14:textId="77777777" w:rsidR="00756EBD" w:rsidRDefault="00756EBD" w:rsidP="00756EB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E10E2">
              <w:rPr>
                <w:rFonts w:cstheme="minorHAnsi"/>
                <w:sz w:val="20"/>
                <w:szCs w:val="20"/>
              </w:rPr>
              <w:t xml:space="preserve">ou bien il est vide, </w:t>
            </w:r>
          </w:p>
          <w:p w14:paraId="10219F99" w14:textId="77777777" w:rsidR="00756EBD" w:rsidRDefault="00756EBD" w:rsidP="00756EB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E10E2">
              <w:rPr>
                <w:rFonts w:cstheme="minorHAnsi"/>
                <w:sz w:val="20"/>
                <w:szCs w:val="20"/>
              </w:rPr>
              <w:t xml:space="preserve">ou bien il est </w:t>
            </w:r>
            <w:r>
              <w:rPr>
                <w:rFonts w:cstheme="minorHAnsi"/>
                <w:sz w:val="20"/>
                <w:szCs w:val="20"/>
              </w:rPr>
              <w:t xml:space="preserve">structuré de la façon suivante : </w:t>
            </w:r>
          </w:p>
          <w:p w14:paraId="74F4651B" w14:textId="77777777" w:rsidR="00756EBD" w:rsidRDefault="00756EBD" w:rsidP="00756EBD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un nœud est appelé</w:t>
            </w:r>
            <w:r w:rsidRPr="007E10E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la </w:t>
            </w:r>
            <w:r w:rsidRPr="007E10E2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racine</w:t>
            </w:r>
            <w:r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de l’arbre ;</w:t>
            </w:r>
          </w:p>
          <w:p w14:paraId="5ED7A34F" w14:textId="77777777" w:rsidR="00756EBD" w:rsidRDefault="00756EBD" w:rsidP="00756EBD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les nœuds restant sont séparés en deux sous-ensembles, qui forment récursivement </w:t>
            </w:r>
            <w:r w:rsidRPr="00732A5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deux sous-arbres</w:t>
            </w:r>
            <w:r>
              <w:rPr>
                <w:rFonts w:cstheme="minorHAnsi"/>
                <w:sz w:val="20"/>
                <w:szCs w:val="20"/>
              </w:rPr>
              <w:t xml:space="preserve"> appelés respectivement </w:t>
            </w:r>
            <w:r w:rsidRPr="00607114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sous-arbre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732A5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gauche</w:t>
            </w:r>
            <w:r>
              <w:rPr>
                <w:rFonts w:cstheme="minorHAnsi"/>
                <w:sz w:val="20"/>
                <w:szCs w:val="20"/>
              </w:rPr>
              <w:t xml:space="preserve"> et </w:t>
            </w:r>
            <w:r w:rsidRPr="00607114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sous-arbre droit</w:t>
            </w:r>
            <w:r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 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1A0FA20" w14:textId="77777777" w:rsidR="00756EBD" w:rsidRPr="00381B90" w:rsidRDefault="00756EBD" w:rsidP="00756EBD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 racine est reliée à ses deux sous-arbres</w:t>
            </w:r>
            <w:r w:rsidR="00B14B97">
              <w:rPr>
                <w:rFonts w:cstheme="minorHAnsi"/>
                <w:sz w:val="20"/>
                <w:szCs w:val="20"/>
              </w:rPr>
              <w:t>,</w:t>
            </w:r>
            <w:r>
              <w:rPr>
                <w:rFonts w:cstheme="minorHAnsi"/>
                <w:sz w:val="20"/>
                <w:szCs w:val="20"/>
              </w:rPr>
              <w:t xml:space="preserve"> gauche et droit</w:t>
            </w:r>
            <w:r w:rsidR="00B14B97">
              <w:rPr>
                <w:rFonts w:cstheme="minorHAnsi"/>
                <w:sz w:val="20"/>
                <w:szCs w:val="20"/>
              </w:rPr>
              <w:t>,</w:t>
            </w:r>
            <w:r>
              <w:rPr>
                <w:rFonts w:cstheme="minorHAnsi"/>
                <w:sz w:val="20"/>
                <w:szCs w:val="20"/>
              </w:rPr>
              <w:t xml:space="preserve"> et, plus précisément, à la racine de chacun de ses sous-arbres</w:t>
            </w:r>
            <w:r w:rsidRPr="007E10E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(lorsqu’ils ne sont pas vides). </w:t>
            </w:r>
          </w:p>
          <w:p w14:paraId="67A84ABB" w14:textId="77777777" w:rsidR="00381B90" w:rsidRPr="00756EBD" w:rsidRDefault="00381B90" w:rsidP="00381B90">
            <w:pPr>
              <w:pStyle w:val="Paragraphedeliste"/>
              <w:autoSpaceDE w:val="0"/>
              <w:autoSpaceDN w:val="0"/>
              <w:adjustRightInd w:val="0"/>
              <w:ind w:left="108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63E14394" w14:textId="77777777" w:rsidR="00756EBD" w:rsidRDefault="00756EBD" w:rsidP="00B45DB9">
      <w:pPr>
        <w:autoSpaceDE w:val="0"/>
        <w:autoSpaceDN w:val="0"/>
        <w:adjustRightInd w:val="0"/>
        <w:spacing w:after="0" w:line="240" w:lineRule="auto"/>
        <w:rPr>
          <w:b/>
          <w:bCs/>
          <w:noProof/>
          <w:sz w:val="20"/>
          <w:szCs w:val="20"/>
        </w:rPr>
      </w:pPr>
    </w:p>
    <w:p w14:paraId="53EA7FDF" w14:textId="77777777" w:rsidR="00756EBD" w:rsidRDefault="00756EBD" w:rsidP="00756EBD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 w:rsidRPr="00756EBD">
        <w:rPr>
          <w:noProof/>
          <w:sz w:val="20"/>
          <w:szCs w:val="20"/>
          <w:u w:val="single"/>
        </w:rPr>
        <w:t>Exemples d’arbres binaires</w:t>
      </w:r>
      <w:r w:rsidRPr="00756EBD">
        <w:rPr>
          <w:noProof/>
          <w:sz w:val="20"/>
          <w:szCs w:val="20"/>
        </w:rPr>
        <w:t xml:space="preserve"> : </w:t>
      </w:r>
    </w:p>
    <w:p w14:paraId="6638788F" w14:textId="77777777" w:rsidR="00756EBD" w:rsidRDefault="00756EBD" w:rsidP="00756EBD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5"/>
        <w:gridCol w:w="3301"/>
        <w:gridCol w:w="3696"/>
        <w:gridCol w:w="267"/>
      </w:tblGrid>
      <w:tr w:rsidR="00756EBD" w14:paraId="656EF99B" w14:textId="77777777" w:rsidTr="00C32E52">
        <w:trPr>
          <w:gridAfter w:val="1"/>
          <w:wAfter w:w="267" w:type="dxa"/>
        </w:trPr>
        <w:tc>
          <w:tcPr>
            <w:tcW w:w="3645" w:type="dxa"/>
          </w:tcPr>
          <w:p w14:paraId="1F75EB08" w14:textId="77777777" w:rsidR="00756EBD" w:rsidRPr="00DB4123" w:rsidRDefault="00756EBD" w:rsidP="00C32E52">
            <w:pPr>
              <w:autoSpaceDE w:val="0"/>
              <w:autoSpaceDN w:val="0"/>
              <w:adjustRightInd w:val="0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  <w:r w:rsidRPr="00DB4123">
              <w:rPr>
                <w:b/>
                <w:bCs/>
                <w:noProof/>
                <w:lang w:eastAsia="fr-FR"/>
              </w:rPr>
              <w:drawing>
                <wp:inline distT="0" distB="0" distL="0" distR="0" wp14:anchorId="625EEF05" wp14:editId="6F048EF8">
                  <wp:extent cx="2177746" cy="1328156"/>
                  <wp:effectExtent l="0" t="0" r="0" b="5715"/>
                  <wp:docPr id="15388424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842416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737" cy="134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646A9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</w:p>
          <w:p w14:paraId="16917014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</w:p>
          <w:p w14:paraId="648568F5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  <w:r w:rsidRPr="00DB4123">
              <w:rPr>
                <w:rFonts w:ascii="Kp-Regular" w:hAnsi="Kp-Regular" w:cs="Kp-Regular"/>
                <w:b/>
                <w:bCs/>
                <w:sz w:val="20"/>
                <w:szCs w:val="20"/>
              </w:rPr>
              <w:t>arbre 1</w:t>
            </w:r>
          </w:p>
        </w:tc>
        <w:tc>
          <w:tcPr>
            <w:tcW w:w="3301" w:type="dxa"/>
          </w:tcPr>
          <w:p w14:paraId="6D1879F5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  <w:r w:rsidRPr="00DB4123">
              <w:rPr>
                <w:b/>
                <w:bCs/>
                <w:noProof/>
                <w:lang w:eastAsia="fr-FR"/>
              </w:rPr>
              <w:drawing>
                <wp:inline distT="0" distB="0" distL="0" distR="0" wp14:anchorId="1CEDBF79" wp14:editId="67D756B4">
                  <wp:extent cx="1101896" cy="1327785"/>
                  <wp:effectExtent l="0" t="0" r="3175" b="5715"/>
                  <wp:docPr id="12977333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33364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197" cy="133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BAEFA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</w:p>
          <w:p w14:paraId="5E449A24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</w:p>
          <w:p w14:paraId="08DA3172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  <w:r w:rsidRPr="00DB4123">
              <w:rPr>
                <w:rFonts w:ascii="Kp-Regular" w:hAnsi="Kp-Regular" w:cs="Kp-Regular"/>
                <w:b/>
                <w:bCs/>
                <w:sz w:val="20"/>
                <w:szCs w:val="20"/>
              </w:rPr>
              <w:t>arbre 2</w:t>
            </w:r>
          </w:p>
        </w:tc>
        <w:tc>
          <w:tcPr>
            <w:tcW w:w="3696" w:type="dxa"/>
          </w:tcPr>
          <w:p w14:paraId="35A79823" w14:textId="77777777" w:rsidR="00756EBD" w:rsidRPr="00DB4123" w:rsidRDefault="00756EBD" w:rsidP="00C32E52">
            <w:pPr>
              <w:autoSpaceDE w:val="0"/>
              <w:autoSpaceDN w:val="0"/>
              <w:adjustRightInd w:val="0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  <w:r w:rsidRPr="00DB4123">
              <w:rPr>
                <w:b/>
                <w:bCs/>
                <w:noProof/>
                <w:lang w:eastAsia="fr-FR"/>
              </w:rPr>
              <w:drawing>
                <wp:inline distT="0" distB="0" distL="0" distR="0" wp14:anchorId="4B2617C0" wp14:editId="0F69EADB">
                  <wp:extent cx="2202104" cy="1703644"/>
                  <wp:effectExtent l="0" t="0" r="8255" b="0"/>
                  <wp:docPr id="16008394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839419" name=""/>
                          <pic:cNvPicPr/>
                        </pic:nvPicPr>
                        <pic:blipFill rotWithShape="1">
                          <a:blip r:embed="rId12" cstate="print"/>
                          <a:srcRect t="3514"/>
                          <a:stretch/>
                        </pic:blipFill>
                        <pic:spPr bwMode="auto">
                          <a:xfrm>
                            <a:off x="0" y="0"/>
                            <a:ext cx="2210792" cy="171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84599E" w14:textId="77777777" w:rsidR="00756EBD" w:rsidRPr="00DB4123" w:rsidRDefault="00756EBD" w:rsidP="00C32E52">
            <w:pPr>
              <w:autoSpaceDE w:val="0"/>
              <w:autoSpaceDN w:val="0"/>
              <w:adjustRightInd w:val="0"/>
              <w:jc w:val="center"/>
              <w:rPr>
                <w:rFonts w:ascii="Kp-Regular" w:hAnsi="Kp-Regular" w:cs="Kp-Regular"/>
                <w:b/>
                <w:bCs/>
                <w:sz w:val="20"/>
                <w:szCs w:val="20"/>
              </w:rPr>
            </w:pPr>
            <w:r w:rsidRPr="00DB4123">
              <w:rPr>
                <w:rFonts w:ascii="Kp-Regular" w:hAnsi="Kp-Regular" w:cs="Kp-Regular"/>
                <w:b/>
                <w:bCs/>
                <w:sz w:val="20"/>
                <w:szCs w:val="20"/>
              </w:rPr>
              <w:t>arbre 3</w:t>
            </w:r>
          </w:p>
        </w:tc>
      </w:tr>
      <w:tr w:rsidR="00756EBD" w14:paraId="122E8018" w14:textId="77777777" w:rsidTr="00C32E52">
        <w:trPr>
          <w:gridAfter w:val="1"/>
          <w:wAfter w:w="267" w:type="dxa"/>
        </w:trPr>
        <w:tc>
          <w:tcPr>
            <w:tcW w:w="3645" w:type="dxa"/>
          </w:tcPr>
          <w:p w14:paraId="6D6AAF35" w14:textId="77777777" w:rsidR="00756EBD" w:rsidRDefault="00756EBD" w:rsidP="00C32E52">
            <w:pPr>
              <w:autoSpaceDE w:val="0"/>
              <w:autoSpaceDN w:val="0"/>
              <w:adjustRightInd w:val="0"/>
              <w:rPr>
                <w:noProof/>
              </w:rPr>
            </w:pPr>
          </w:p>
        </w:tc>
        <w:tc>
          <w:tcPr>
            <w:tcW w:w="3301" w:type="dxa"/>
          </w:tcPr>
          <w:p w14:paraId="30D086C8" w14:textId="77777777" w:rsidR="00756EBD" w:rsidRDefault="00756EBD" w:rsidP="00C32E52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</w:p>
        </w:tc>
        <w:tc>
          <w:tcPr>
            <w:tcW w:w="3696" w:type="dxa"/>
          </w:tcPr>
          <w:p w14:paraId="4ACF6A51" w14:textId="77777777" w:rsidR="00756EBD" w:rsidRDefault="00756EBD" w:rsidP="00C32E52">
            <w:pPr>
              <w:autoSpaceDE w:val="0"/>
              <w:autoSpaceDN w:val="0"/>
              <w:adjustRightInd w:val="0"/>
              <w:rPr>
                <w:noProof/>
              </w:rPr>
            </w:pPr>
          </w:p>
        </w:tc>
      </w:tr>
      <w:tr w:rsidR="00CC4540" w14:paraId="60E7D258" w14:textId="77777777" w:rsidTr="00CC45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04" w:type="dxa"/>
            <w:gridSpan w:val="4"/>
          </w:tcPr>
          <w:p w14:paraId="1CF4C3F4" w14:textId="77777777" w:rsidR="00CC4540" w:rsidRPr="00E32CEC" w:rsidRDefault="00CC4540" w:rsidP="00CC4540">
            <w:pPr>
              <w:autoSpaceDE w:val="0"/>
              <w:autoSpaceDN w:val="0"/>
              <w:adjustRightInd w:val="0"/>
              <w:rPr>
                <w:b/>
                <w:bCs/>
                <w:noProof/>
                <w:sz w:val="20"/>
                <w:szCs w:val="20"/>
              </w:rPr>
            </w:pPr>
            <w:r w:rsidRPr="00E32CEC">
              <w:rPr>
                <w:b/>
                <w:bCs/>
                <w:noProof/>
                <w:sz w:val="20"/>
                <w:szCs w:val="20"/>
                <w:u w:val="single"/>
              </w:rPr>
              <w:t>Objectif</w:t>
            </w:r>
            <w:r w:rsidR="00756EBD" w:rsidRPr="00E32CEC">
              <w:rPr>
                <w:b/>
                <w:bCs/>
                <w:noProof/>
                <w:sz w:val="20"/>
                <w:szCs w:val="20"/>
                <w:u w:val="single"/>
              </w:rPr>
              <w:t xml:space="preserve"> de ce TP</w:t>
            </w:r>
            <w:r w:rsidRPr="00E32CEC">
              <w:rPr>
                <w:b/>
                <w:bCs/>
                <w:noProof/>
                <w:sz w:val="20"/>
                <w:szCs w:val="20"/>
              </w:rPr>
              <w:t xml:space="preserve"> : </w:t>
            </w:r>
          </w:p>
          <w:p w14:paraId="750E3A0F" w14:textId="77777777" w:rsidR="00E32CEC" w:rsidRDefault="00CC4540" w:rsidP="00B45DB9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</w:t>
            </w:r>
            <w:r w:rsidRPr="00DF62BA">
              <w:rPr>
                <w:noProof/>
                <w:sz w:val="20"/>
                <w:szCs w:val="20"/>
              </w:rPr>
              <w:t xml:space="preserve">éfinir, dans un fichier nommé </w:t>
            </w:r>
            <w:r w:rsidRPr="00DF62BA">
              <w:rPr>
                <w:i/>
                <w:iCs/>
                <w:noProof/>
                <w:sz w:val="20"/>
                <w:szCs w:val="20"/>
              </w:rPr>
              <w:t>arbre.py</w:t>
            </w:r>
            <w:r w:rsidRPr="00DF62BA">
              <w:rPr>
                <w:noProof/>
                <w:sz w:val="20"/>
                <w:szCs w:val="20"/>
              </w:rPr>
              <w:t xml:space="preserve">, </w:t>
            </w:r>
            <w:r>
              <w:rPr>
                <w:noProof/>
                <w:sz w:val="20"/>
                <w:szCs w:val="20"/>
              </w:rPr>
              <w:t xml:space="preserve">une classe </w:t>
            </w:r>
            <w:r w:rsidRPr="00DF62BA">
              <w:rPr>
                <w:rFonts w:ascii="Courier New" w:hAnsi="Courier New" w:cs="Courier New"/>
                <w:noProof/>
                <w:sz w:val="20"/>
                <w:szCs w:val="20"/>
              </w:rPr>
              <w:t>Nœud</w:t>
            </w:r>
            <w:r>
              <w:rPr>
                <w:noProof/>
                <w:sz w:val="20"/>
                <w:szCs w:val="20"/>
              </w:rPr>
              <w:t xml:space="preserve"> permettant de construire et d’afficher un arbre binaire. </w:t>
            </w:r>
          </w:p>
          <w:p w14:paraId="3DD64A29" w14:textId="77777777" w:rsidR="00CC4540" w:rsidRPr="00CC4540" w:rsidRDefault="00CC4540" w:rsidP="00370D80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Cette classe sera constituée de la méthode constructeur et de </w:t>
            </w:r>
            <w:r w:rsidR="00370D80">
              <w:rPr>
                <w:noProof/>
                <w:sz w:val="20"/>
                <w:szCs w:val="20"/>
              </w:rPr>
              <w:t>cinq</w:t>
            </w:r>
            <w:r>
              <w:rPr>
                <w:noProof/>
                <w:sz w:val="20"/>
                <w:szCs w:val="20"/>
              </w:rPr>
              <w:t xml:space="preserve"> autres méthodes présentées ci-après. </w:t>
            </w:r>
          </w:p>
        </w:tc>
      </w:tr>
    </w:tbl>
    <w:p w14:paraId="387D76CD" w14:textId="77777777" w:rsidR="00DF62BA" w:rsidRDefault="00DF62BA" w:rsidP="00B45DB9">
      <w:pPr>
        <w:autoSpaceDE w:val="0"/>
        <w:autoSpaceDN w:val="0"/>
        <w:adjustRightInd w:val="0"/>
        <w:spacing w:after="0" w:line="240" w:lineRule="auto"/>
        <w:rPr>
          <w:noProof/>
          <w:sz w:val="20"/>
          <w:szCs w:val="20"/>
        </w:rPr>
      </w:pPr>
    </w:p>
    <w:p w14:paraId="4043617A" w14:textId="77777777" w:rsidR="00213B2B" w:rsidRPr="00213B2B" w:rsidRDefault="00213B2B" w:rsidP="00213B2B">
      <w:pPr>
        <w:autoSpaceDE w:val="0"/>
        <w:autoSpaceDN w:val="0"/>
        <w:adjustRightInd w:val="0"/>
        <w:spacing w:after="0" w:line="240" w:lineRule="auto"/>
        <w:rPr>
          <w:b/>
          <w:bCs/>
          <w:noProof/>
          <w:sz w:val="20"/>
          <w:szCs w:val="20"/>
        </w:rPr>
      </w:pPr>
      <w:r w:rsidRPr="00213B2B">
        <w:rPr>
          <w:b/>
          <w:bCs/>
          <w:noProof/>
          <w:sz w:val="20"/>
          <w:szCs w:val="20"/>
        </w:rPr>
        <w:t xml:space="preserve">1) </w:t>
      </w:r>
      <w:r w:rsidRPr="00213B2B">
        <w:rPr>
          <w:b/>
          <w:bCs/>
          <w:noProof/>
          <w:sz w:val="20"/>
          <w:szCs w:val="20"/>
          <w:u w:val="single"/>
        </w:rPr>
        <w:t>La méthode constructeur</w:t>
      </w:r>
    </w:p>
    <w:p w14:paraId="73FF5857" w14:textId="77777777" w:rsidR="00213B2B" w:rsidRDefault="00213B2B" w:rsidP="00B45DB9">
      <w:pPr>
        <w:autoSpaceDE w:val="0"/>
        <w:autoSpaceDN w:val="0"/>
        <w:adjustRightInd w:val="0"/>
        <w:spacing w:after="0" w:line="240" w:lineRule="auto"/>
        <w:rPr>
          <w:noProof/>
          <w:sz w:val="20"/>
          <w:szCs w:val="20"/>
        </w:rPr>
      </w:pPr>
    </w:p>
    <w:p w14:paraId="25ECE556" w14:textId="77777777" w:rsidR="00DF62BA" w:rsidRDefault="00DF62BA" w:rsidP="00B45DB9">
      <w:pPr>
        <w:autoSpaceDE w:val="0"/>
        <w:autoSpaceDN w:val="0"/>
        <w:adjustRightInd w:val="0"/>
        <w:spacing w:after="0" w:line="240" w:lineRule="auto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La méthode constructeur permettra de définir trois attributs essentiels pour un nœud : </w:t>
      </w:r>
    </w:p>
    <w:p w14:paraId="0C26E518" w14:textId="77777777" w:rsidR="00DF62BA" w:rsidRDefault="00DF62BA" w:rsidP="00DF62BA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sa valeur ;</w:t>
      </w:r>
    </w:p>
    <w:p w14:paraId="4B2F7CD2" w14:textId="77777777" w:rsidR="00DF62BA" w:rsidRDefault="00DF62BA" w:rsidP="00DF62BA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son sous-arbre gauche ;</w:t>
      </w:r>
    </w:p>
    <w:p w14:paraId="77D4597B" w14:textId="77777777" w:rsidR="00DF62BA" w:rsidRDefault="00DF62BA" w:rsidP="00DF62BA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 w:rsidRPr="00DF62BA">
        <w:rPr>
          <w:rFonts w:ascii="Kp-Regular" w:hAnsi="Kp-Regular" w:cs="Kp-Regular"/>
          <w:sz w:val="20"/>
          <w:szCs w:val="20"/>
        </w:rPr>
        <w:t>son sous-arbre droit.</w:t>
      </w:r>
    </w:p>
    <w:p w14:paraId="2879B1AE" w14:textId="77777777" w:rsidR="00756EBD" w:rsidRDefault="00756EBD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5FA22C90" w14:textId="77777777" w:rsidR="00213B2B" w:rsidRPr="00213B2B" w:rsidRDefault="00213B2B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b/>
          <w:bCs/>
          <w:sz w:val="20"/>
          <w:szCs w:val="20"/>
        </w:rPr>
      </w:pPr>
      <w:r w:rsidRPr="00213B2B">
        <w:rPr>
          <w:rFonts w:ascii="Kp-Regular" w:hAnsi="Kp-Regular" w:cs="Kp-Regular"/>
          <w:b/>
          <w:bCs/>
          <w:sz w:val="20"/>
          <w:szCs w:val="20"/>
        </w:rPr>
        <w:t xml:space="preserve">2) </w:t>
      </w:r>
      <w:r w:rsidRPr="00213B2B">
        <w:rPr>
          <w:rFonts w:ascii="Kp-Regular" w:hAnsi="Kp-Regular" w:cs="Kp-Regular"/>
          <w:b/>
          <w:bCs/>
          <w:sz w:val="20"/>
          <w:szCs w:val="20"/>
          <w:u w:val="single"/>
        </w:rPr>
        <w:t>Construire un arbre binaire</w:t>
      </w:r>
    </w:p>
    <w:p w14:paraId="6B946DAC" w14:textId="77777777" w:rsidR="00213B2B" w:rsidRDefault="00213B2B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384045C3" w14:textId="77777777" w:rsidR="00DF62BA" w:rsidRDefault="00DF62BA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 xml:space="preserve">La création d’un arbre binaire se fera à partir des nœuds existants : la classe </w:t>
      </w:r>
      <w:r w:rsidRPr="00DF62BA">
        <w:rPr>
          <w:rFonts w:ascii="Courier New" w:hAnsi="Courier New" w:cs="Courier New"/>
          <w:sz w:val="20"/>
          <w:szCs w:val="20"/>
        </w:rPr>
        <w:t>Nœud</w:t>
      </w:r>
      <w:r>
        <w:rPr>
          <w:rFonts w:ascii="Kp-Regular" w:hAnsi="Kp-Regular" w:cs="Kp-Regular"/>
          <w:sz w:val="20"/>
          <w:szCs w:val="20"/>
        </w:rPr>
        <w:t xml:space="preserve"> </w:t>
      </w:r>
      <w:r w:rsidR="00E32CEC">
        <w:rPr>
          <w:rFonts w:ascii="Kp-Regular" w:hAnsi="Kp-Regular" w:cs="Kp-Regular"/>
          <w:sz w:val="20"/>
          <w:szCs w:val="20"/>
        </w:rPr>
        <w:t>doit</w:t>
      </w:r>
      <w:r>
        <w:rPr>
          <w:rFonts w:ascii="Kp-Regular" w:hAnsi="Kp-Regular" w:cs="Kp-Regular"/>
          <w:sz w:val="20"/>
          <w:szCs w:val="20"/>
        </w:rPr>
        <w:t xml:space="preserve"> donc </w:t>
      </w:r>
      <w:r w:rsidR="00E32CEC">
        <w:rPr>
          <w:rFonts w:ascii="Kp-Regular" w:hAnsi="Kp-Regular" w:cs="Kp-Regular"/>
          <w:sz w:val="20"/>
          <w:szCs w:val="20"/>
        </w:rPr>
        <w:t xml:space="preserve">être </w:t>
      </w:r>
      <w:r>
        <w:rPr>
          <w:rFonts w:ascii="Kp-Regular" w:hAnsi="Kp-Regular" w:cs="Kp-Regular"/>
          <w:sz w:val="20"/>
          <w:szCs w:val="20"/>
        </w:rPr>
        <w:t xml:space="preserve">munie de deux méthodes permettant, pour l’une, d’insérer un nœud à gauche d’un nœud existant et, pour l’autre, d’insérer un nœud à droite d’un nœud existant. </w:t>
      </w:r>
    </w:p>
    <w:p w14:paraId="14C1216F" w14:textId="77777777" w:rsidR="00DF62BA" w:rsidRDefault="00DF62BA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502C5FC3" w14:textId="77777777" w:rsidR="0054204D" w:rsidRPr="0054204D" w:rsidRDefault="0054204D" w:rsidP="0054204D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b/>
          <w:bCs/>
          <w:sz w:val="20"/>
          <w:szCs w:val="20"/>
          <w:u w:val="single"/>
        </w:rPr>
      </w:pPr>
      <w:r>
        <w:rPr>
          <w:rFonts w:ascii="Kp-Regular" w:hAnsi="Kp-Regular" w:cs="Kp-Regular"/>
          <w:b/>
          <w:bCs/>
          <w:sz w:val="20"/>
          <w:szCs w:val="20"/>
        </w:rPr>
        <w:t>3</w:t>
      </w:r>
      <w:r w:rsidRPr="00213B2B">
        <w:rPr>
          <w:rFonts w:ascii="Kp-Regular" w:hAnsi="Kp-Regular" w:cs="Kp-Regular"/>
          <w:b/>
          <w:bCs/>
          <w:sz w:val="20"/>
          <w:szCs w:val="20"/>
        </w:rPr>
        <w:t xml:space="preserve">) </w:t>
      </w:r>
      <w:r w:rsidRPr="0054204D">
        <w:rPr>
          <w:rFonts w:ascii="Kp-Regular" w:hAnsi="Kp-Regular" w:cs="Kp-Regular"/>
          <w:b/>
          <w:bCs/>
          <w:sz w:val="20"/>
          <w:szCs w:val="20"/>
          <w:u w:val="single"/>
        </w:rPr>
        <w:t>Accéder aux éléments d’un arbre binaire</w:t>
      </w:r>
    </w:p>
    <w:p w14:paraId="51629DC5" w14:textId="77777777" w:rsidR="0054204D" w:rsidRDefault="0054204D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4F4B77EA" w14:textId="77777777" w:rsidR="00DF62BA" w:rsidRDefault="00DF62BA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 xml:space="preserve">La classe </w:t>
      </w:r>
      <w:r w:rsidRPr="00DF62BA">
        <w:rPr>
          <w:rFonts w:ascii="Courier New" w:hAnsi="Courier New" w:cs="Courier New"/>
          <w:sz w:val="20"/>
          <w:szCs w:val="20"/>
        </w:rPr>
        <w:t>Nœud</w:t>
      </w:r>
      <w:r>
        <w:rPr>
          <w:rFonts w:ascii="Kp-Regular" w:hAnsi="Kp-Regular" w:cs="Kp-Regular"/>
          <w:sz w:val="20"/>
          <w:szCs w:val="20"/>
        </w:rPr>
        <w:t xml:space="preserve"> sera également munie de trois autres méthodes </w:t>
      </w:r>
      <w:r w:rsidRPr="00213B2B">
        <w:rPr>
          <w:rFonts w:ascii="Courier New" w:hAnsi="Courier New" w:cs="Courier New"/>
          <w:sz w:val="20"/>
          <w:szCs w:val="20"/>
        </w:rPr>
        <w:t>get_valeur</w:t>
      </w:r>
      <w:r>
        <w:rPr>
          <w:rFonts w:ascii="Kp-Regular" w:hAnsi="Kp-Regular" w:cs="Kp-Regular"/>
          <w:sz w:val="20"/>
          <w:szCs w:val="20"/>
        </w:rPr>
        <w:t xml:space="preserve">, </w:t>
      </w:r>
      <w:r w:rsidRPr="00213B2B">
        <w:rPr>
          <w:rFonts w:ascii="Courier New" w:hAnsi="Courier New" w:cs="Courier New"/>
          <w:sz w:val="20"/>
          <w:szCs w:val="20"/>
        </w:rPr>
        <w:t>get_</w:t>
      </w:r>
      <w:r w:rsidR="00213B2B" w:rsidRPr="00213B2B">
        <w:rPr>
          <w:rFonts w:ascii="Courier New" w:hAnsi="Courier New" w:cs="Courier New"/>
          <w:sz w:val="20"/>
          <w:szCs w:val="20"/>
        </w:rPr>
        <w:t>ssa_gauche</w:t>
      </w:r>
      <w:r>
        <w:rPr>
          <w:rFonts w:ascii="Kp-Regular" w:hAnsi="Kp-Regular" w:cs="Kp-Regular"/>
          <w:sz w:val="20"/>
          <w:szCs w:val="20"/>
        </w:rPr>
        <w:t xml:space="preserve"> et </w:t>
      </w:r>
      <w:r w:rsidRPr="00213B2B">
        <w:rPr>
          <w:rFonts w:ascii="Courier New" w:hAnsi="Courier New" w:cs="Courier New"/>
          <w:sz w:val="20"/>
          <w:szCs w:val="20"/>
        </w:rPr>
        <w:t>get</w:t>
      </w:r>
      <w:r w:rsidR="00213B2B" w:rsidRPr="00213B2B">
        <w:rPr>
          <w:rFonts w:ascii="Courier New" w:hAnsi="Courier New" w:cs="Courier New"/>
          <w:sz w:val="20"/>
          <w:szCs w:val="20"/>
        </w:rPr>
        <w:t>_ssa_droit</w:t>
      </w:r>
      <w:r>
        <w:rPr>
          <w:rFonts w:ascii="Kp-Regular" w:hAnsi="Kp-Regular" w:cs="Kp-Regular"/>
          <w:sz w:val="20"/>
          <w:szCs w:val="20"/>
        </w:rPr>
        <w:t> :</w:t>
      </w:r>
    </w:p>
    <w:p w14:paraId="1D4434AF" w14:textId="77777777" w:rsidR="00DF62BA" w:rsidRDefault="00DF62BA" w:rsidP="00DF62B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 xml:space="preserve">la méthode </w:t>
      </w:r>
      <w:r w:rsidR="00D215E2" w:rsidRPr="00213B2B">
        <w:rPr>
          <w:rFonts w:ascii="Courier New" w:hAnsi="Courier New" w:cs="Courier New"/>
          <w:sz w:val="20"/>
          <w:szCs w:val="20"/>
        </w:rPr>
        <w:t>get_valeur</w:t>
      </w:r>
      <w:r w:rsidR="00D215E2">
        <w:rPr>
          <w:rFonts w:ascii="Kp-Regular" w:hAnsi="Kp-Regular" w:cs="Kp-Regular"/>
          <w:sz w:val="20"/>
          <w:szCs w:val="20"/>
        </w:rPr>
        <w:t xml:space="preserve"> renvoie la valeur </w:t>
      </w:r>
      <w:r w:rsidR="00213B2B">
        <w:rPr>
          <w:rFonts w:ascii="Kp-Regular" w:hAnsi="Kp-Regular" w:cs="Kp-Regular"/>
          <w:sz w:val="20"/>
          <w:szCs w:val="20"/>
        </w:rPr>
        <w:t xml:space="preserve">du nœud ; </w:t>
      </w:r>
    </w:p>
    <w:p w14:paraId="5CA5EDE5" w14:textId="77777777" w:rsidR="00213B2B" w:rsidRDefault="00213B2B" w:rsidP="00DF62B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 xml:space="preserve">la méthode </w:t>
      </w:r>
      <w:r w:rsidRPr="00213B2B">
        <w:rPr>
          <w:rFonts w:ascii="Courier New" w:hAnsi="Courier New" w:cs="Courier New"/>
          <w:sz w:val="20"/>
          <w:szCs w:val="20"/>
        </w:rPr>
        <w:t>get_ssa_gauche</w:t>
      </w:r>
      <w:r>
        <w:rPr>
          <w:rFonts w:ascii="Kp-Regular" w:hAnsi="Kp-Regular" w:cs="Kp-Regular"/>
          <w:sz w:val="20"/>
          <w:szCs w:val="20"/>
        </w:rPr>
        <w:t xml:space="preserve"> renvoie le sous-arbre gauche du nœud (c’est un élément de type </w:t>
      </w:r>
      <w:r w:rsidRPr="00467671">
        <w:rPr>
          <w:rFonts w:ascii="Courier New" w:hAnsi="Courier New" w:cs="Courier New"/>
          <w:sz w:val="20"/>
          <w:szCs w:val="20"/>
        </w:rPr>
        <w:t>Nœud)</w:t>
      </w:r>
      <w:r>
        <w:rPr>
          <w:rFonts w:ascii="Kp-Regular" w:hAnsi="Kp-Regular" w:cs="Kp-Regular"/>
          <w:sz w:val="20"/>
          <w:szCs w:val="20"/>
        </w:rPr>
        <w:t> ;</w:t>
      </w:r>
    </w:p>
    <w:p w14:paraId="64A45F9A" w14:textId="77777777" w:rsidR="00213B2B" w:rsidRDefault="00213B2B" w:rsidP="00213B2B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 xml:space="preserve">la méthode </w:t>
      </w:r>
      <w:r w:rsidRPr="00213B2B">
        <w:rPr>
          <w:rFonts w:ascii="Courier New" w:hAnsi="Courier New" w:cs="Courier New"/>
          <w:sz w:val="20"/>
          <w:szCs w:val="20"/>
        </w:rPr>
        <w:t>get_ssa_</w:t>
      </w:r>
      <w:r w:rsidR="00DA0293">
        <w:rPr>
          <w:rFonts w:ascii="Courier New" w:hAnsi="Courier New" w:cs="Courier New"/>
          <w:sz w:val="20"/>
          <w:szCs w:val="20"/>
        </w:rPr>
        <w:t>droit</w:t>
      </w:r>
      <w:r>
        <w:rPr>
          <w:rFonts w:ascii="Kp-Regular" w:hAnsi="Kp-Regular" w:cs="Kp-Regular"/>
          <w:sz w:val="20"/>
          <w:szCs w:val="20"/>
        </w:rPr>
        <w:t xml:space="preserve"> renvoie le sous-arbre gauche du nœud (c’est un élément de type </w:t>
      </w:r>
      <w:r w:rsidRPr="00467671">
        <w:rPr>
          <w:rFonts w:ascii="Courier New" w:hAnsi="Courier New" w:cs="Courier New"/>
          <w:sz w:val="20"/>
          <w:szCs w:val="20"/>
        </w:rPr>
        <w:t>Nœud</w:t>
      </w:r>
      <w:r>
        <w:rPr>
          <w:rFonts w:ascii="Kp-Regular" w:hAnsi="Kp-Regular" w:cs="Kp-Regular"/>
          <w:sz w:val="20"/>
          <w:szCs w:val="20"/>
        </w:rPr>
        <w:t>).</w:t>
      </w:r>
    </w:p>
    <w:p w14:paraId="10F488FD" w14:textId="77777777" w:rsidR="00213B2B" w:rsidRDefault="00213B2B" w:rsidP="00213B2B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103816EC" w14:textId="77777777" w:rsidR="00DB4123" w:rsidRDefault="00213B2B" w:rsidP="00756EBD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 xml:space="preserve">En utilisant la classe </w:t>
      </w:r>
      <w:r w:rsidRPr="00213B2B">
        <w:rPr>
          <w:rFonts w:ascii="Courier New" w:hAnsi="Courier New" w:cs="Courier New"/>
          <w:sz w:val="20"/>
          <w:szCs w:val="20"/>
        </w:rPr>
        <w:t>Nœud</w:t>
      </w:r>
      <w:r>
        <w:rPr>
          <w:rFonts w:ascii="Kp-Regular" w:hAnsi="Kp-Regular" w:cs="Kp-Regular"/>
          <w:sz w:val="20"/>
          <w:szCs w:val="20"/>
        </w:rPr>
        <w:t xml:space="preserve"> précédemment définie, implémenter les trois arbres </w:t>
      </w:r>
      <w:r w:rsidR="00756EBD">
        <w:rPr>
          <w:rFonts w:ascii="Kp-Regular" w:hAnsi="Kp-Regular" w:cs="Kp-Regular"/>
          <w:sz w:val="20"/>
          <w:szCs w:val="20"/>
        </w:rPr>
        <w:t>binaires représentés ci-dessus et</w:t>
      </w:r>
      <w:r>
        <w:rPr>
          <w:rFonts w:ascii="Kp-Regular" w:hAnsi="Kp-Regular" w:cs="Kp-Regular"/>
          <w:sz w:val="20"/>
          <w:szCs w:val="20"/>
        </w:rPr>
        <w:t xml:space="preserve"> proposer un jeu de tests permettant de tester les trois méthodes précédentes. </w:t>
      </w:r>
    </w:p>
    <w:p w14:paraId="52D41A60" w14:textId="77777777" w:rsidR="00756EBD" w:rsidRPr="00213B2B" w:rsidRDefault="00756EBD" w:rsidP="00756EBD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2E04A905" w14:textId="77777777" w:rsidR="00213B2B" w:rsidRPr="00213B2B" w:rsidRDefault="0054204D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b/>
          <w:bCs/>
          <w:sz w:val="20"/>
          <w:szCs w:val="20"/>
        </w:rPr>
      </w:pPr>
      <w:r>
        <w:rPr>
          <w:rFonts w:ascii="Kp-Regular" w:hAnsi="Kp-Regular" w:cs="Kp-Regular"/>
          <w:b/>
          <w:bCs/>
          <w:sz w:val="20"/>
          <w:szCs w:val="20"/>
        </w:rPr>
        <w:t>4</w:t>
      </w:r>
      <w:r w:rsidR="00213B2B" w:rsidRPr="00213B2B">
        <w:rPr>
          <w:rFonts w:ascii="Kp-Regular" w:hAnsi="Kp-Regular" w:cs="Kp-Regular"/>
          <w:b/>
          <w:bCs/>
          <w:sz w:val="20"/>
          <w:szCs w:val="20"/>
        </w:rPr>
        <w:t xml:space="preserve">) </w:t>
      </w:r>
      <w:r w:rsidR="00213B2B" w:rsidRPr="00213B2B">
        <w:rPr>
          <w:rFonts w:ascii="Kp-Regular" w:hAnsi="Kp-Regular" w:cs="Kp-Regular"/>
          <w:b/>
          <w:bCs/>
          <w:sz w:val="20"/>
          <w:szCs w:val="20"/>
          <w:u w:val="single"/>
        </w:rPr>
        <w:t>Afficher un arbre binaire</w:t>
      </w:r>
    </w:p>
    <w:p w14:paraId="03D4FDFC" w14:textId="77777777" w:rsidR="00213B2B" w:rsidRDefault="00213B2B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1D2065DF" w14:textId="77777777" w:rsidR="00DF62BA" w:rsidRDefault="00213B2B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Définir</w:t>
      </w:r>
      <w:r w:rsidR="00472640">
        <w:rPr>
          <w:rFonts w:ascii="Kp-Regular" w:hAnsi="Kp-Regular" w:cs="Kp-Regular"/>
          <w:sz w:val="20"/>
          <w:szCs w:val="20"/>
        </w:rPr>
        <w:t>, en dehors de la classe,</w:t>
      </w:r>
      <w:r>
        <w:rPr>
          <w:rFonts w:ascii="Kp-Regular" w:hAnsi="Kp-Regular" w:cs="Kp-Regular"/>
          <w:sz w:val="20"/>
          <w:szCs w:val="20"/>
        </w:rPr>
        <w:t xml:space="preserve"> une </w:t>
      </w:r>
      <w:r w:rsidR="00472640">
        <w:rPr>
          <w:rFonts w:ascii="Kp-Regular" w:hAnsi="Kp-Regular" w:cs="Kp-Regular"/>
          <w:sz w:val="20"/>
          <w:szCs w:val="20"/>
        </w:rPr>
        <w:t>fonction</w:t>
      </w:r>
      <w:r>
        <w:rPr>
          <w:rFonts w:ascii="Kp-Regular" w:hAnsi="Kp-Regular" w:cs="Kp-Regular"/>
          <w:sz w:val="20"/>
          <w:szCs w:val="20"/>
        </w:rPr>
        <w:t xml:space="preserve"> </w:t>
      </w:r>
      <w:r w:rsidRPr="00213B2B">
        <w:rPr>
          <w:rFonts w:ascii="Courier New" w:hAnsi="Courier New" w:cs="Courier New"/>
          <w:sz w:val="20"/>
          <w:szCs w:val="20"/>
        </w:rPr>
        <w:t>afficher</w:t>
      </w:r>
      <w:r>
        <w:rPr>
          <w:rFonts w:ascii="Kp-Regular" w:hAnsi="Kp-Regular" w:cs="Kp-Regular"/>
          <w:sz w:val="20"/>
          <w:szCs w:val="20"/>
        </w:rPr>
        <w:t xml:space="preserve"> qui permettra d’afficher</w:t>
      </w:r>
      <w:r w:rsidR="00467671">
        <w:rPr>
          <w:rFonts w:ascii="Kp-Regular" w:hAnsi="Kp-Regular" w:cs="Kp-Regular"/>
          <w:sz w:val="20"/>
          <w:szCs w:val="20"/>
        </w:rPr>
        <w:t>, à l’aide de tuples,</w:t>
      </w:r>
      <w:r>
        <w:rPr>
          <w:rFonts w:ascii="Kp-Regular" w:hAnsi="Kp-Regular" w:cs="Kp-Regular"/>
          <w:sz w:val="20"/>
          <w:szCs w:val="20"/>
        </w:rPr>
        <w:t xml:space="preserve"> l’arbre en entier depuis </w:t>
      </w:r>
      <w:r w:rsidR="00467671">
        <w:rPr>
          <w:rFonts w:ascii="Kp-Regular" w:hAnsi="Kp-Regular" w:cs="Kp-Regular"/>
          <w:sz w:val="20"/>
          <w:szCs w:val="20"/>
        </w:rPr>
        <w:t>s</w:t>
      </w:r>
      <w:r>
        <w:rPr>
          <w:rFonts w:ascii="Kp-Regular" w:hAnsi="Kp-Regular" w:cs="Kp-Regular"/>
          <w:sz w:val="20"/>
          <w:szCs w:val="20"/>
        </w:rPr>
        <w:t xml:space="preserve">a racine : cette </w:t>
      </w:r>
      <w:r w:rsidR="00472640">
        <w:rPr>
          <w:rFonts w:ascii="Kp-Regular" w:hAnsi="Kp-Regular" w:cs="Kp-Regular"/>
          <w:sz w:val="20"/>
          <w:szCs w:val="20"/>
        </w:rPr>
        <w:t>fonction</w:t>
      </w:r>
      <w:r>
        <w:rPr>
          <w:rFonts w:ascii="Kp-Regular" w:hAnsi="Kp-Regular" w:cs="Kp-Regular"/>
          <w:sz w:val="20"/>
          <w:szCs w:val="20"/>
        </w:rPr>
        <w:t xml:space="preserve"> aura pour paramètre </w:t>
      </w:r>
      <w:r w:rsidRPr="00D64CFB">
        <w:rPr>
          <w:rFonts w:ascii="Courier New" w:hAnsi="Courier New" w:cs="Courier New"/>
          <w:sz w:val="20"/>
          <w:szCs w:val="20"/>
        </w:rPr>
        <w:t>arbre</w:t>
      </w:r>
      <w:r>
        <w:rPr>
          <w:rFonts w:ascii="Kp-Regular" w:hAnsi="Kp-Regular" w:cs="Kp-Regular"/>
          <w:sz w:val="20"/>
          <w:szCs w:val="20"/>
        </w:rPr>
        <w:t xml:space="preserve">, un élément de la classe </w:t>
      </w:r>
      <w:r w:rsidRPr="00467671">
        <w:rPr>
          <w:rFonts w:ascii="Courier New" w:hAnsi="Courier New" w:cs="Courier New"/>
          <w:sz w:val="20"/>
          <w:szCs w:val="20"/>
        </w:rPr>
        <w:t>Nœud</w:t>
      </w:r>
      <w:r w:rsidR="00F66CA4">
        <w:rPr>
          <w:rFonts w:ascii="Kp-Regular" w:hAnsi="Kp-Regular" w:cs="Kp-Regular"/>
          <w:sz w:val="20"/>
          <w:szCs w:val="20"/>
        </w:rPr>
        <w:t xml:space="preserve">, </w:t>
      </w:r>
      <w:r>
        <w:rPr>
          <w:rFonts w:ascii="Kp-Regular" w:hAnsi="Kp-Regular" w:cs="Kp-Regular"/>
          <w:sz w:val="20"/>
          <w:szCs w:val="20"/>
        </w:rPr>
        <w:t>et ne renverra rien</w:t>
      </w:r>
      <w:r w:rsidR="00467671">
        <w:rPr>
          <w:rFonts w:ascii="Kp-Regular" w:hAnsi="Kp-Regular" w:cs="Kp-Regular"/>
          <w:sz w:val="20"/>
          <w:szCs w:val="20"/>
        </w:rPr>
        <w:t xml:space="preserve"> (</w:t>
      </w:r>
      <w:r w:rsidR="00467671" w:rsidRPr="00467671">
        <w:rPr>
          <w:rFonts w:ascii="Courier New" w:hAnsi="Courier New" w:cs="Courier New"/>
          <w:sz w:val="20"/>
          <w:szCs w:val="20"/>
        </w:rPr>
        <w:t>None</w:t>
      </w:r>
      <w:r w:rsidR="00467671">
        <w:rPr>
          <w:rFonts w:ascii="Kp-Regular" w:hAnsi="Kp-Regular" w:cs="Kp-Regular"/>
          <w:sz w:val="20"/>
          <w:szCs w:val="20"/>
        </w:rPr>
        <w:t>)</w:t>
      </w:r>
      <w:r>
        <w:rPr>
          <w:rFonts w:ascii="Kp-Regular" w:hAnsi="Kp-Regular" w:cs="Kp-Regular"/>
          <w:sz w:val="20"/>
          <w:szCs w:val="20"/>
        </w:rPr>
        <w:t xml:space="preserve">. </w:t>
      </w:r>
    </w:p>
    <w:p w14:paraId="7EF0CDC3" w14:textId="77777777" w:rsidR="00756EBD" w:rsidRDefault="00756EBD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7712A30E" w14:textId="77777777" w:rsidR="00DF62BA" w:rsidRPr="00DF62BA" w:rsidRDefault="00DB4123" w:rsidP="00DF62BA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lastRenderedPageBreak/>
        <w:t>Faire a</w:t>
      </w:r>
      <w:r w:rsidR="00213B2B">
        <w:rPr>
          <w:rFonts w:ascii="Kp-Regular" w:hAnsi="Kp-Regular" w:cs="Kp-Regular"/>
          <w:sz w:val="20"/>
          <w:szCs w:val="20"/>
        </w:rPr>
        <w:t>fficher</w:t>
      </w:r>
      <w:r w:rsidR="00F66CA4">
        <w:rPr>
          <w:rFonts w:ascii="Kp-Regular" w:hAnsi="Kp-Regular" w:cs="Kp-Regular"/>
          <w:sz w:val="20"/>
          <w:szCs w:val="20"/>
        </w:rPr>
        <w:t xml:space="preserve"> les trois arbres </w:t>
      </w:r>
      <w:r>
        <w:rPr>
          <w:rFonts w:ascii="Kp-Regular" w:hAnsi="Kp-Regular" w:cs="Kp-Regular"/>
          <w:sz w:val="20"/>
          <w:szCs w:val="20"/>
        </w:rPr>
        <w:t>implémenté</w:t>
      </w:r>
      <w:r w:rsidR="00F66CA4">
        <w:rPr>
          <w:rFonts w:ascii="Kp-Regular" w:hAnsi="Kp-Regular" w:cs="Kp-Regular"/>
          <w:sz w:val="20"/>
          <w:szCs w:val="20"/>
        </w:rPr>
        <w:t xml:space="preserve">s </w:t>
      </w:r>
      <w:r w:rsidR="00962726">
        <w:rPr>
          <w:rFonts w:ascii="Kp-Regular" w:hAnsi="Kp-Regular" w:cs="Kp-Regular"/>
          <w:sz w:val="20"/>
          <w:szCs w:val="20"/>
        </w:rPr>
        <w:t>dans la partie</w:t>
      </w:r>
      <w:r w:rsidR="00F66CA4">
        <w:rPr>
          <w:rFonts w:ascii="Kp-Regular" w:hAnsi="Kp-Regular" w:cs="Kp-Regular"/>
          <w:sz w:val="20"/>
          <w:szCs w:val="20"/>
        </w:rPr>
        <w:t xml:space="preserve"> </w:t>
      </w:r>
      <w:r w:rsidR="0054204D">
        <w:rPr>
          <w:rFonts w:ascii="Kp-Regular" w:hAnsi="Kp-Regular" w:cs="Kp-Regular"/>
          <w:sz w:val="20"/>
          <w:szCs w:val="20"/>
        </w:rPr>
        <w:t>3</w:t>
      </w:r>
      <w:r w:rsidR="00F66CA4">
        <w:rPr>
          <w:rFonts w:ascii="Kp-Regular" w:hAnsi="Kp-Regular" w:cs="Kp-Regular"/>
          <w:sz w:val="20"/>
          <w:szCs w:val="20"/>
        </w:rPr>
        <w:t>.</w:t>
      </w:r>
    </w:p>
    <w:sectPr w:rsidR="00DF62BA" w:rsidRPr="00DF62BA" w:rsidSect="00BE7AFF">
      <w:footerReference w:type="default" r:id="rId13"/>
      <w:pgSz w:w="11906" w:h="16838"/>
      <w:pgMar w:top="568" w:right="424" w:bottom="284" w:left="42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A582B" w14:textId="77777777" w:rsidR="00E242EA" w:rsidRDefault="00E242EA" w:rsidP="007141D4">
      <w:pPr>
        <w:spacing w:after="0" w:line="240" w:lineRule="auto"/>
      </w:pPr>
      <w:r>
        <w:separator/>
      </w:r>
    </w:p>
  </w:endnote>
  <w:endnote w:type="continuationSeparator" w:id="0">
    <w:p w14:paraId="5244285A" w14:textId="77777777" w:rsidR="00E242EA" w:rsidRDefault="00E242EA" w:rsidP="0071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p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1168" w14:textId="77777777" w:rsidR="007141D4" w:rsidRDefault="00162D4D" w:rsidP="007141D4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 w:rsidR="007141D4"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C6528E">
      <w:rPr>
        <w:caps/>
        <w:noProof/>
        <w:color w:val="4472C4" w:themeColor="accent1"/>
      </w:rPr>
      <w:t>1</w:t>
    </w:r>
    <w:r>
      <w:rPr>
        <w:caps/>
        <w:color w:val="4472C4" w:themeColor="accent1"/>
      </w:rPr>
      <w:fldChar w:fldCharType="end"/>
    </w:r>
  </w:p>
  <w:p w14:paraId="49558159" w14:textId="77777777" w:rsidR="007141D4" w:rsidRDefault="007141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A330" w14:textId="77777777" w:rsidR="00E242EA" w:rsidRDefault="00E242EA" w:rsidP="007141D4">
      <w:pPr>
        <w:spacing w:after="0" w:line="240" w:lineRule="auto"/>
      </w:pPr>
      <w:r>
        <w:separator/>
      </w:r>
    </w:p>
  </w:footnote>
  <w:footnote w:type="continuationSeparator" w:id="0">
    <w:p w14:paraId="638D0AFE" w14:textId="77777777" w:rsidR="00E242EA" w:rsidRDefault="00E242EA" w:rsidP="00714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590A"/>
    <w:multiLevelType w:val="hybridMultilevel"/>
    <w:tmpl w:val="26027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950BE"/>
    <w:multiLevelType w:val="hybridMultilevel"/>
    <w:tmpl w:val="79FE83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20A32"/>
    <w:multiLevelType w:val="hybridMultilevel"/>
    <w:tmpl w:val="98D23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F4BB3"/>
    <w:multiLevelType w:val="hybridMultilevel"/>
    <w:tmpl w:val="8F809C36"/>
    <w:lvl w:ilvl="0" w:tplc="040C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4" w15:restartNumberingAfterBreak="0">
    <w:nsid w:val="5F032ED6"/>
    <w:multiLevelType w:val="hybridMultilevel"/>
    <w:tmpl w:val="168407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7E43"/>
    <w:multiLevelType w:val="hybridMultilevel"/>
    <w:tmpl w:val="483A45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75351"/>
    <w:multiLevelType w:val="hybridMultilevel"/>
    <w:tmpl w:val="43A2E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A43C3"/>
    <w:multiLevelType w:val="hybridMultilevel"/>
    <w:tmpl w:val="A8705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40A7A"/>
    <w:multiLevelType w:val="hybridMultilevel"/>
    <w:tmpl w:val="5FF80C8A"/>
    <w:lvl w:ilvl="0" w:tplc="A4409E6E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7740553">
    <w:abstractNumId w:val="1"/>
  </w:num>
  <w:num w:numId="2" w16cid:durableId="483743176">
    <w:abstractNumId w:val="7"/>
  </w:num>
  <w:num w:numId="3" w16cid:durableId="2064475435">
    <w:abstractNumId w:val="4"/>
  </w:num>
  <w:num w:numId="4" w16cid:durableId="1363290541">
    <w:abstractNumId w:val="2"/>
  </w:num>
  <w:num w:numId="5" w16cid:durableId="1122385077">
    <w:abstractNumId w:val="0"/>
  </w:num>
  <w:num w:numId="6" w16cid:durableId="628706400">
    <w:abstractNumId w:val="5"/>
  </w:num>
  <w:num w:numId="7" w16cid:durableId="1649237902">
    <w:abstractNumId w:val="6"/>
  </w:num>
  <w:num w:numId="8" w16cid:durableId="247202630">
    <w:abstractNumId w:val="3"/>
  </w:num>
  <w:num w:numId="9" w16cid:durableId="275216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7E3"/>
    <w:rsid w:val="000B05EB"/>
    <w:rsid w:val="00132589"/>
    <w:rsid w:val="00156B09"/>
    <w:rsid w:val="00162D4D"/>
    <w:rsid w:val="001F01AA"/>
    <w:rsid w:val="00212E6F"/>
    <w:rsid w:val="00213B2B"/>
    <w:rsid w:val="002331B6"/>
    <w:rsid w:val="0025585F"/>
    <w:rsid w:val="002A31AB"/>
    <w:rsid w:val="00310277"/>
    <w:rsid w:val="00370D80"/>
    <w:rsid w:val="00381B90"/>
    <w:rsid w:val="00397236"/>
    <w:rsid w:val="003B6B67"/>
    <w:rsid w:val="003F7A28"/>
    <w:rsid w:val="00400110"/>
    <w:rsid w:val="004221A5"/>
    <w:rsid w:val="00463DF9"/>
    <w:rsid w:val="00467671"/>
    <w:rsid w:val="00472640"/>
    <w:rsid w:val="004A17CB"/>
    <w:rsid w:val="004A581B"/>
    <w:rsid w:val="004C2959"/>
    <w:rsid w:val="0054204D"/>
    <w:rsid w:val="00591187"/>
    <w:rsid w:val="005E375F"/>
    <w:rsid w:val="006F5259"/>
    <w:rsid w:val="007072F5"/>
    <w:rsid w:val="007141D4"/>
    <w:rsid w:val="00756EBD"/>
    <w:rsid w:val="00877290"/>
    <w:rsid w:val="008A1D80"/>
    <w:rsid w:val="00951C80"/>
    <w:rsid w:val="00962726"/>
    <w:rsid w:val="00A2438B"/>
    <w:rsid w:val="00A51F87"/>
    <w:rsid w:val="00A57FD8"/>
    <w:rsid w:val="00A628A6"/>
    <w:rsid w:val="00AB08B3"/>
    <w:rsid w:val="00AC7D3A"/>
    <w:rsid w:val="00B14B97"/>
    <w:rsid w:val="00B16C5B"/>
    <w:rsid w:val="00B217E3"/>
    <w:rsid w:val="00B239C8"/>
    <w:rsid w:val="00B418D8"/>
    <w:rsid w:val="00B45DB9"/>
    <w:rsid w:val="00BE7AFF"/>
    <w:rsid w:val="00C375C2"/>
    <w:rsid w:val="00C6528E"/>
    <w:rsid w:val="00CC4540"/>
    <w:rsid w:val="00CD79C6"/>
    <w:rsid w:val="00D15731"/>
    <w:rsid w:val="00D1749A"/>
    <w:rsid w:val="00D215E2"/>
    <w:rsid w:val="00D64CFB"/>
    <w:rsid w:val="00DA0293"/>
    <w:rsid w:val="00DB4123"/>
    <w:rsid w:val="00DF62BA"/>
    <w:rsid w:val="00E242EA"/>
    <w:rsid w:val="00E32CEC"/>
    <w:rsid w:val="00EE5C0B"/>
    <w:rsid w:val="00F06780"/>
    <w:rsid w:val="00F360FA"/>
    <w:rsid w:val="00F64F06"/>
    <w:rsid w:val="00F6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DCB10"/>
  <w15:docId w15:val="{363F9C0C-7C1D-481E-8190-630E762B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7E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2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">
    <w:name w:val="Heading #3_"/>
    <w:basedOn w:val="Policepardfaut"/>
    <w:link w:val="Heading30"/>
    <w:rsid w:val="00B217E3"/>
    <w:rPr>
      <w:rFonts w:ascii="Arial" w:eastAsia="Arial" w:hAnsi="Arial" w:cs="Arial"/>
      <w:i/>
      <w:iCs/>
      <w:sz w:val="28"/>
      <w:szCs w:val="28"/>
      <w:shd w:val="clear" w:color="auto" w:fill="FFFFFF"/>
      <w:lang w:val="en-US" w:bidi="en-US"/>
    </w:rPr>
  </w:style>
  <w:style w:type="paragraph" w:customStyle="1" w:styleId="Heading30">
    <w:name w:val="Heading #3"/>
    <w:basedOn w:val="Normal"/>
    <w:link w:val="Heading3"/>
    <w:rsid w:val="00B217E3"/>
    <w:pPr>
      <w:widowControl w:val="0"/>
      <w:shd w:val="clear" w:color="auto" w:fill="FFFFFF"/>
      <w:spacing w:after="80" w:line="240" w:lineRule="auto"/>
      <w:jc w:val="center"/>
      <w:outlineLvl w:val="2"/>
    </w:pPr>
    <w:rPr>
      <w:rFonts w:ascii="Arial" w:eastAsia="Arial" w:hAnsi="Arial" w:cs="Arial"/>
      <w:i/>
      <w:iCs/>
      <w:sz w:val="28"/>
      <w:szCs w:val="28"/>
      <w:lang w:val="en-US" w:bidi="en-US"/>
    </w:rPr>
  </w:style>
  <w:style w:type="paragraph" w:styleId="Paragraphedeliste">
    <w:name w:val="List Paragraph"/>
    <w:basedOn w:val="Normal"/>
    <w:uiPriority w:val="34"/>
    <w:qFormat/>
    <w:rsid w:val="00C375C2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141D4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141D4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141D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71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1D4"/>
  </w:style>
  <w:style w:type="paragraph" w:styleId="Pieddepage">
    <w:name w:val="footer"/>
    <w:basedOn w:val="Normal"/>
    <w:link w:val="PieddepageCar"/>
    <w:uiPriority w:val="99"/>
    <w:unhideWhenUsed/>
    <w:rsid w:val="0071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1D4"/>
  </w:style>
  <w:style w:type="character" w:styleId="Lienhypertexte">
    <w:name w:val="Hyperlink"/>
    <w:basedOn w:val="Policepardfaut"/>
    <w:uiPriority w:val="99"/>
    <w:unhideWhenUsed/>
    <w:rsid w:val="00DF62BA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F62B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56EBD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72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2640"/>
    <w:rPr>
      <w:rFonts w:ascii="Tahoma" w:hAnsi="Tahoma" w:cs="Tahoma"/>
      <w:sz w:val="16"/>
      <w:szCs w:val="16"/>
    </w:rPr>
  </w:style>
  <w:style w:type="character" w:styleId="Mentionnonrsolue">
    <w:name w:val="Unresolved Mention"/>
    <w:basedOn w:val="Policepardfaut"/>
    <w:uiPriority w:val="99"/>
    <w:semiHidden/>
    <w:unhideWhenUsed/>
    <w:rsid w:val="004A1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e.web.ac-grenoble.fr/outils-numeriques-0/decoupeur-de-video#Wz5KTtG66mg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C7B9E-C5A9-468C-BBBE-D8AA0C434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Noémie Exartier</dc:creator>
  <cp:lastModifiedBy>Noémie</cp:lastModifiedBy>
  <cp:revision>11</cp:revision>
  <cp:lastPrinted>2024-03-04T10:35:00Z</cp:lastPrinted>
  <dcterms:created xsi:type="dcterms:W3CDTF">2024-03-03T18:47:00Z</dcterms:created>
  <dcterms:modified xsi:type="dcterms:W3CDTF">2026-03-05T13:00:00Z</dcterms:modified>
</cp:coreProperties>
</file>