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lang w:val="fr-FR"/>
        </w:rPr>
      </w:pPr>
      <w:bookmarkStart w:id="0" w:name="_GoBack"/>
      <w:bookmarkEnd w:id="0"/>
      <w:r>
        <w:rPr>
          <w:lang w:val="fr-FR"/>
        </w:rPr>
        <w:t>Modèle pour la conférence EIAH</w:t>
      </w:r>
    </w:p>
    <w:p>
      <w:pPr>
        <w:pStyle w:val="Author"/>
        <w:rPr>
          <w:lang w:val="fr-FR"/>
        </w:rPr>
      </w:pPr>
      <w:r>
        <w:rPr>
          <w:lang w:val="fr-FR"/>
        </w:rPr>
        <w:t>Sébastien Iksal</w:t>
      </w:r>
      <w:r>
        <w:rPr>
          <w:vertAlign w:val="superscript"/>
          <w:lang w:val="fr-FR"/>
        </w:rPr>
        <w:t>1</w:t>
      </w:r>
      <w:r>
        <w:rPr>
          <w:lang w:val="fr-FR"/>
        </w:rPr>
        <w:t>, Chrysta Pelissier</w:t>
      </w:r>
      <w:r>
        <w:rPr>
          <w:vertAlign w:val="superscript"/>
          <w:lang w:val="fr-FR"/>
        </w:rPr>
        <w:t>2</w:t>
      </w:r>
    </w:p>
    <w:p>
      <w:pPr>
        <w:pStyle w:val="Address"/>
        <w:rPr>
          <w:lang w:val="fr-FR"/>
        </w:rPr>
      </w:pPr>
      <w:r>
        <w:rPr>
          <w:vertAlign w:val="superscript"/>
          <w:lang w:val="fr-FR"/>
        </w:rPr>
        <w:t>1</w:t>
      </w:r>
      <w:r>
        <w:rPr>
          <w:lang w:val="fr-FR"/>
        </w:rPr>
        <w:t xml:space="preserve"> Le Mans Université, LIUM, F-72000 Le Mans, France</w:t>
      </w:r>
    </w:p>
    <w:p>
      <w:pPr>
        <w:pStyle w:val="Address"/>
        <w:rPr>
          <w:lang w:val="fr-FR"/>
        </w:rPr>
      </w:pPr>
      <w:r>
        <w:rPr>
          <w:rStyle w:val="Email"/>
          <w:lang w:val="fr-FR"/>
        </w:rPr>
        <w:t>sebastien.iksal@ univ-lemans.fr</w:t>
      </w:r>
    </w:p>
    <w:p>
      <w:pPr>
        <w:pStyle w:val="Address"/>
        <w:rPr>
          <w:lang w:val="fr-FR"/>
        </w:rPr>
      </w:pPr>
      <w:r>
        <w:rPr>
          <w:vertAlign w:val="superscript"/>
          <w:lang w:val="de-DE"/>
        </w:rPr>
        <w:t>2</w:t>
      </w:r>
      <w:r>
        <w:rPr>
          <w:lang w:val="de-DE"/>
        </w:rPr>
        <w:t xml:space="preserve"> Université de Montpellier 3, LHUMAIN, F-34505 Béziers, France</w:t>
        <w:br/>
      </w:r>
      <w:r>
        <w:rPr>
          <w:rStyle w:val="Email"/>
          <w:lang w:val="fr-FR"/>
        </w:rPr>
        <w:t>chrysta.pelissier@umontpellier.fr</w:t>
      </w:r>
    </w:p>
    <w:p>
      <w:pPr>
        <w:pStyle w:val="Abstract"/>
        <w:spacing w:before="600" w:after="0"/>
        <w:ind w:left="567" w:right="567" w:hanging="0"/>
        <w:contextualSpacing/>
        <w:rPr>
          <w:lang w:val="fr-FR"/>
        </w:rPr>
      </w:pPr>
      <w:r>
        <w:rPr>
          <w:b/>
          <w:bCs/>
          <w:lang w:val="fr-FR"/>
        </w:rPr>
        <w:t xml:space="preserve">Résumé. </w:t>
      </w:r>
      <w:r>
        <w:rPr>
          <w:lang w:val="fr-FR"/>
        </w:rPr>
        <w:t>Le résumé doit synthétiser le contenu de l’article et doit contenir entre 70 et 150 mots. Ce paragraphe est dans le format requis.</w:t>
      </w:r>
    </w:p>
    <w:p>
      <w:pPr>
        <w:pStyle w:val="Keywords"/>
        <w:rPr>
          <w:lang w:val="fr-FR"/>
        </w:rPr>
      </w:pPr>
      <w:r>
        <w:rPr>
          <w:b/>
          <w:bCs/>
          <w:lang w:val="fr-FR"/>
        </w:rPr>
        <w:t>Mots-clés :</w:t>
      </w:r>
      <w:r>
        <w:rPr>
          <w:lang w:val="fr-FR"/>
        </w:rPr>
        <w:t xml:space="preserve"> </w:t>
      </w:r>
      <w:r>
        <w:rPr>
          <w:szCs w:val="18"/>
          <w:lang w:val="fr-FR"/>
        </w:rPr>
        <w:t>Une liste de 5 mots-clés séparés par des virgules</w:t>
      </w:r>
      <w:r>
        <w:rPr>
          <w:lang w:val="fr-FR"/>
        </w:rPr>
        <w:t>.</w:t>
      </w:r>
    </w:p>
    <w:p>
      <w:pPr>
        <w:pStyle w:val="Abstract"/>
        <w:spacing w:before="600" w:after="0"/>
        <w:ind w:left="567" w:right="567" w:hanging="0"/>
        <w:contextualSpacing/>
        <w:rPr/>
      </w:pPr>
      <w:r>
        <w:rPr>
          <w:b/>
          <w:bCs/>
        </w:rPr>
        <w:t xml:space="preserve">Abstract. </w:t>
      </w:r>
      <w:r>
        <w:rPr/>
        <w:t>The abstract should summarize the contents of the paper in short terms, i.e. 70-150 words.</w:t>
      </w:r>
    </w:p>
    <w:p>
      <w:pPr>
        <w:pStyle w:val="Keywords"/>
        <w:rPr/>
      </w:pPr>
      <w:r>
        <w:rPr>
          <w:b/>
          <w:bCs/>
        </w:rPr>
        <w:t>Keywords:</w:t>
      </w:r>
      <w:r>
        <w:rPr/>
        <w:t xml:space="preserve"> </w:t>
      </w:r>
      <w:r>
        <w:rPr>
          <w:szCs w:val="18"/>
        </w:rPr>
        <w:t>A list of 5 keywords separated by commas</w:t>
      </w:r>
      <w:r>
        <w:rPr/>
        <w:t>.</w:t>
      </w:r>
    </w:p>
    <w:p>
      <w:pPr>
        <w:pStyle w:val="Heading11"/>
        <w:numPr>
          <w:ilvl w:val="0"/>
          <w:numId w:val="4"/>
        </w:numPr>
        <w:rPr/>
      </w:pPr>
      <w:r>
        <w:rPr/>
        <w:t>Introduction</w:t>
      </w:r>
    </w:p>
    <w:p>
      <w:pPr>
        <w:pStyle w:val="P1a"/>
        <w:rPr>
          <w:lang w:val="fr-FR"/>
        </w:rPr>
      </w:pPr>
      <w:r>
        <w:rPr>
          <w:lang w:val="fr-FR"/>
        </w:rPr>
        <w:t>Ces instructions sont à respecter pour soumettre un article à la conférence EIAH 2023. Ce modèle Word doit être utilisé. Ce style est très proche de celui qui est utilisé dans les LNCS de Springer car les actes de la conférence seront créés à partir du site esaychair qui utilise ce format pour automatiser une partie du processus d’édition. Il est donc important de respecter tous les styles (title, heading, normal, …).</w:t>
      </w:r>
    </w:p>
    <w:p>
      <w:pPr>
        <w:pStyle w:val="Normal"/>
        <w:rPr>
          <w:lang w:val="fr-FR"/>
        </w:rPr>
      </w:pPr>
      <w:r>
        <w:rPr>
          <w:lang w:val="fr-FR"/>
        </w:rPr>
        <w:t>Pour que votre texte respecte le présent format, il est préférable d’écrire directement dans ce fichier. L’autre possibilité est de copier l’ensemble de votre texte dans ce fichier et d’appliquer les styles adéquats sur chacun des titres et paragraphes. Au moment de l’édition, les articles qui ne respectent pas ces consignes seront renvoyés aux auteurs.</w:t>
      </w:r>
    </w:p>
    <w:p>
      <w:pPr>
        <w:pStyle w:val="Normal"/>
        <w:rPr>
          <w:lang w:val="fr-FR"/>
        </w:rPr>
      </w:pPr>
      <w:r>
        <w:rPr>
          <w:lang w:val="fr-FR"/>
        </w:rPr>
        <w:t>Les auteurs qui le souhaitent peuvent utiliser le style latex de LNCS (https://www.springer.com/fr/computer-science/lncs/conference-proceedings-guidelines) à condition de respecter la première page ci-dessus (résumés et mots-clés en Français et Anglais) ainsi que les entêtes des pages paires et impaires.</w:t>
      </w:r>
    </w:p>
    <w:p>
      <w:pPr>
        <w:pStyle w:val="Normal"/>
        <w:rPr>
          <w:lang w:val="fr-FR"/>
        </w:rPr>
      </w:pPr>
      <w:r>
        <w:rPr>
          <w:lang w:val="fr-FR"/>
        </w:rPr>
      </w:r>
    </w:p>
    <w:p>
      <w:pPr>
        <w:pStyle w:val="Normal"/>
        <w:rPr>
          <w:lang w:val="fr-FR"/>
        </w:rPr>
      </w:pPr>
      <w:r>
        <w:rPr>
          <w:lang w:val="fr-FR"/>
        </w:rPr>
        <w:t>Les consignes qui suivent ont été laissées en Anglais mais la rédaction doit être effectuée en Français.</w:t>
      </w:r>
    </w:p>
    <w:p>
      <w:pPr>
        <w:pStyle w:val="Heading11"/>
        <w:numPr>
          <w:ilvl w:val="0"/>
          <w:numId w:val="4"/>
        </w:numPr>
        <w:rPr/>
      </w:pPr>
      <w:r>
        <w:rPr/>
        <w:t>First Section</w:t>
      </w:r>
    </w:p>
    <w:p>
      <w:pPr>
        <w:pStyle w:val="Heading21"/>
        <w:numPr>
          <w:ilvl w:val="1"/>
          <w:numId w:val="4"/>
        </w:numPr>
        <w:spacing w:before="0" w:after="160"/>
        <w:rPr/>
      </w:pPr>
      <w:r>
        <w:rPr/>
        <w:t>A Subsection Sample</w:t>
      </w:r>
    </w:p>
    <w:p>
      <w:pPr>
        <w:pStyle w:val="P1a"/>
        <w:rPr/>
      </w:pPr>
      <w:r>
        <w:rPr/>
        <w:t>Please note that the first paragraph of a section or subsection is not indented. The first paragraphs that follows a table, figure, equation etc. does not have an indent, either.</w:t>
      </w:r>
    </w:p>
    <w:p>
      <w:pPr>
        <w:pStyle w:val="Normal"/>
        <w:rPr/>
      </w:pPr>
      <w:r>
        <w:rPr/>
        <w:t>Subsequent paragraphs, however, are indented.</w:t>
      </w:r>
    </w:p>
    <w:p>
      <w:pPr>
        <w:pStyle w:val="Heading3"/>
        <w:rPr/>
      </w:pPr>
      <w:r>
        <w:rPr>
          <w:rStyle w:val="Heading31"/>
        </w:rPr>
        <w:t>Sample Heading (Third Level).</w:t>
      </w:r>
      <w:r>
        <w:rPr/>
        <w:t xml:space="preserve"> Only two levels of headings should be numbered. Lower level headings remain unnumbered; they are formatted as run-in headings.</w:t>
      </w:r>
    </w:p>
    <w:p>
      <w:pPr>
        <w:pStyle w:val="Heading4"/>
        <w:rPr/>
      </w:pPr>
      <w:r>
        <w:rPr>
          <w:rStyle w:val="Heading41"/>
        </w:rPr>
        <w:t>Sample Heading (Forth Level).</w:t>
      </w:r>
      <w:r>
        <w:rPr/>
        <w:t xml:space="preserve"> The contribution should contain no more than four levels of headings. The following </w:t>
      </w:r>
      <w:r>
        <w:rPr/>
        <w:fldChar w:fldCharType="begin"/>
      </w:r>
      <w:r>
        <w:rPr/>
        <w:instrText xml:space="preserve"> REF _Ref467509391 \h </w:instrText>
      </w:r>
      <w:r>
        <w:rPr/>
        <w:fldChar w:fldCharType="separate"/>
      </w:r>
      <w:r>
        <w:rPr/>
        <w:t>Table 1</w:t>
      </w:r>
      <w:r>
        <w:rPr/>
        <w:fldChar w:fldCharType="end"/>
      </w:r>
      <w:r>
        <w:rPr/>
        <w:t xml:space="preserve"> gives a summary of all heading levels.</w:t>
      </w:r>
    </w:p>
    <w:p>
      <w:pPr>
        <w:pStyle w:val="Tablecaption"/>
        <w:rPr/>
      </w:pPr>
      <w:bookmarkStart w:id="1" w:name="_Ref467509391"/>
      <w:r>
        <w:rPr>
          <w:b/>
        </w:rPr>
        <w:t xml:space="preserve">Table </w:t>
      </w:r>
      <w:r>
        <w:rPr>
          <w:b/>
        </w:rPr>
        <w:fldChar w:fldCharType="begin"/>
      </w:r>
      <w:r>
        <w:rPr>
          <w:b/>
        </w:rPr>
        <w:instrText xml:space="preserve"> SEQ "Table" \* ARABIC </w:instrText>
      </w:r>
      <w:r>
        <w:rPr>
          <w:b/>
        </w:rPr>
        <w:fldChar w:fldCharType="separate"/>
      </w:r>
      <w:r>
        <w:rPr>
          <w:b/>
        </w:rPr>
        <w:t>1</w:t>
      </w:r>
      <w:r>
        <w:rPr>
          <w:b/>
        </w:rPr>
        <w:fldChar w:fldCharType="end"/>
      </w:r>
      <w:bookmarkEnd w:id="1"/>
      <w:r>
        <w:rPr>
          <w:b/>
        </w:rPr>
        <w:t>.</w:t>
      </w:r>
      <w:r>
        <w:rPr/>
        <w:t xml:space="preserve"> Table captions should be placed above the tables.</w:t>
      </w:r>
    </w:p>
    <w:tbl>
      <w:tblPr>
        <w:tblW w:w="688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691"/>
        <w:gridCol w:w="3444"/>
        <w:gridCol w:w="1754"/>
      </w:tblGrid>
      <w:tr>
        <w:trPr/>
        <w:tc>
          <w:tcPr>
            <w:tcW w:w="1691" w:type="dxa"/>
            <w:tcBorders>
              <w:top w:val="single" w:sz="12" w:space="0" w:color="000000"/>
              <w:bottom w:val="single" w:sz="6" w:space="0" w:color="000000"/>
            </w:tcBorders>
          </w:tcPr>
          <w:p>
            <w:pPr>
              <w:pStyle w:val="Normal"/>
              <w:widowControl w:val="false"/>
              <w:ind w:hanging="0"/>
              <w:jc w:val="left"/>
              <w:rPr>
                <w:sz w:val="18"/>
                <w:szCs w:val="18"/>
              </w:rPr>
            </w:pPr>
            <w:r>
              <w:rPr>
                <w:sz w:val="18"/>
                <w:szCs w:val="18"/>
              </w:rPr>
              <w:t>Heading level</w:t>
            </w:r>
          </w:p>
        </w:tc>
        <w:tc>
          <w:tcPr>
            <w:tcW w:w="3444" w:type="dxa"/>
            <w:tcBorders>
              <w:top w:val="single" w:sz="12" w:space="0" w:color="000000"/>
              <w:bottom w:val="single" w:sz="6" w:space="0" w:color="000000"/>
            </w:tcBorders>
          </w:tcPr>
          <w:p>
            <w:pPr>
              <w:pStyle w:val="Normal"/>
              <w:widowControl w:val="false"/>
              <w:ind w:hanging="0"/>
              <w:jc w:val="left"/>
              <w:rPr>
                <w:sz w:val="18"/>
                <w:szCs w:val="18"/>
              </w:rPr>
            </w:pPr>
            <w:r>
              <w:rPr>
                <w:sz w:val="18"/>
                <w:szCs w:val="18"/>
              </w:rPr>
              <w:t>Example</w:t>
            </w:r>
          </w:p>
        </w:tc>
        <w:tc>
          <w:tcPr>
            <w:tcW w:w="1754" w:type="dxa"/>
            <w:tcBorders>
              <w:top w:val="single" w:sz="12" w:space="0" w:color="000000"/>
              <w:bottom w:val="single" w:sz="6" w:space="0" w:color="000000"/>
            </w:tcBorders>
          </w:tcPr>
          <w:p>
            <w:pPr>
              <w:pStyle w:val="Normal"/>
              <w:widowControl w:val="false"/>
              <w:ind w:hanging="0"/>
              <w:jc w:val="left"/>
              <w:rPr>
                <w:sz w:val="18"/>
                <w:szCs w:val="18"/>
              </w:rPr>
            </w:pPr>
            <w:r>
              <w:rPr>
                <w:sz w:val="18"/>
                <w:szCs w:val="18"/>
              </w:rPr>
              <w:t>Font size and style</w:t>
            </w:r>
          </w:p>
        </w:tc>
      </w:tr>
      <w:tr>
        <w:trPr>
          <w:trHeight w:val="284" w:hRule="atLeast"/>
        </w:trPr>
        <w:tc>
          <w:tcPr>
            <w:tcW w:w="1691" w:type="dxa"/>
            <w:tcBorders/>
            <w:vAlign w:val="center"/>
          </w:tcPr>
          <w:p>
            <w:pPr>
              <w:pStyle w:val="Normal"/>
              <w:widowControl w:val="false"/>
              <w:ind w:hanging="0"/>
              <w:jc w:val="left"/>
              <w:rPr>
                <w:sz w:val="18"/>
                <w:szCs w:val="18"/>
              </w:rPr>
            </w:pPr>
            <w:r>
              <w:rPr>
                <w:sz w:val="18"/>
                <w:szCs w:val="18"/>
              </w:rPr>
              <w:t>Title (centered)</w:t>
            </w:r>
          </w:p>
        </w:tc>
        <w:tc>
          <w:tcPr>
            <w:tcW w:w="3444" w:type="dxa"/>
            <w:tcBorders/>
            <w:vAlign w:val="center"/>
          </w:tcPr>
          <w:p>
            <w:pPr>
              <w:pStyle w:val="Normal"/>
              <w:widowControl w:val="false"/>
              <w:ind w:hanging="0"/>
              <w:jc w:val="left"/>
              <w:rPr>
                <w:sz w:val="18"/>
                <w:szCs w:val="18"/>
              </w:rPr>
            </w:pPr>
            <w:r>
              <w:rPr>
                <w:b/>
                <w:bCs/>
                <w:sz w:val="28"/>
                <w:szCs w:val="25"/>
              </w:rPr>
              <w:t>Lecture Notes</w:t>
            </w:r>
          </w:p>
        </w:tc>
        <w:tc>
          <w:tcPr>
            <w:tcW w:w="1754" w:type="dxa"/>
            <w:tcBorders/>
            <w:vAlign w:val="center"/>
          </w:tcPr>
          <w:p>
            <w:pPr>
              <w:pStyle w:val="Normal"/>
              <w:widowControl w:val="false"/>
              <w:ind w:hanging="0"/>
              <w:jc w:val="left"/>
              <w:rPr>
                <w:sz w:val="18"/>
                <w:szCs w:val="18"/>
              </w:rPr>
            </w:pPr>
            <w:r>
              <w:rPr>
                <w:sz w:val="18"/>
                <w:szCs w:val="18"/>
              </w:rPr>
              <w:t>14 point, bold</w:t>
            </w:r>
          </w:p>
        </w:tc>
      </w:tr>
      <w:tr>
        <w:trPr>
          <w:trHeight w:val="284" w:hRule="atLeast"/>
        </w:trPr>
        <w:tc>
          <w:tcPr>
            <w:tcW w:w="1691" w:type="dxa"/>
            <w:tcBorders/>
            <w:vAlign w:val="center"/>
          </w:tcPr>
          <w:p>
            <w:pPr>
              <w:pStyle w:val="Normal"/>
              <w:widowControl w:val="false"/>
              <w:ind w:hanging="0"/>
              <w:jc w:val="left"/>
              <w:rPr>
                <w:sz w:val="18"/>
                <w:szCs w:val="18"/>
              </w:rPr>
            </w:pPr>
            <w:r>
              <w:rPr>
                <w:sz w:val="18"/>
                <w:szCs w:val="18"/>
              </w:rPr>
              <w:t>1</w:t>
            </w:r>
            <w:r>
              <w:rPr>
                <w:sz w:val="18"/>
                <w:szCs w:val="18"/>
                <w:vertAlign w:val="superscript"/>
              </w:rPr>
              <w:t>st</w:t>
            </w:r>
            <w:r>
              <w:rPr>
                <w:sz w:val="18"/>
                <w:szCs w:val="18"/>
              </w:rPr>
              <w:t>-level heading</w:t>
            </w:r>
          </w:p>
        </w:tc>
        <w:tc>
          <w:tcPr>
            <w:tcW w:w="3444" w:type="dxa"/>
            <w:tcBorders/>
            <w:vAlign w:val="center"/>
          </w:tcPr>
          <w:p>
            <w:pPr>
              <w:pStyle w:val="Normal"/>
              <w:widowControl w:val="false"/>
              <w:ind w:hanging="0"/>
              <w:jc w:val="left"/>
              <w:rPr>
                <w:sz w:val="18"/>
                <w:szCs w:val="18"/>
              </w:rPr>
            </w:pPr>
            <w:r>
              <w:rPr>
                <w:b/>
                <w:bCs/>
                <w:sz w:val="24"/>
                <w:szCs w:val="21"/>
              </w:rPr>
              <w:t>1 Introduction</w:t>
            </w:r>
          </w:p>
        </w:tc>
        <w:tc>
          <w:tcPr>
            <w:tcW w:w="1754" w:type="dxa"/>
            <w:tcBorders/>
            <w:vAlign w:val="center"/>
          </w:tcPr>
          <w:p>
            <w:pPr>
              <w:pStyle w:val="Normal"/>
              <w:widowControl w:val="false"/>
              <w:ind w:hanging="0"/>
              <w:jc w:val="left"/>
              <w:rPr>
                <w:sz w:val="18"/>
                <w:szCs w:val="18"/>
              </w:rPr>
            </w:pPr>
            <w:r>
              <w:rPr>
                <w:sz w:val="18"/>
                <w:szCs w:val="18"/>
              </w:rPr>
              <w:t>12 point, bold</w:t>
            </w:r>
          </w:p>
        </w:tc>
      </w:tr>
      <w:tr>
        <w:trPr>
          <w:trHeight w:val="284" w:hRule="atLeast"/>
        </w:trPr>
        <w:tc>
          <w:tcPr>
            <w:tcW w:w="1691" w:type="dxa"/>
            <w:tcBorders/>
            <w:vAlign w:val="center"/>
          </w:tcPr>
          <w:p>
            <w:pPr>
              <w:pStyle w:val="Normal"/>
              <w:widowControl w:val="false"/>
              <w:ind w:hanging="0"/>
              <w:jc w:val="left"/>
              <w:rPr>
                <w:sz w:val="18"/>
                <w:szCs w:val="18"/>
              </w:rPr>
            </w:pPr>
            <w:r>
              <w:rPr>
                <w:sz w:val="18"/>
                <w:szCs w:val="18"/>
              </w:rPr>
              <w:t>2</w:t>
            </w:r>
            <w:r>
              <w:rPr>
                <w:sz w:val="18"/>
                <w:szCs w:val="18"/>
                <w:vertAlign w:val="superscript"/>
              </w:rPr>
              <w:t>nd</w:t>
            </w:r>
            <w:r>
              <w:rPr>
                <w:sz w:val="18"/>
                <w:szCs w:val="18"/>
              </w:rPr>
              <w:t>-level heading</w:t>
            </w:r>
          </w:p>
        </w:tc>
        <w:tc>
          <w:tcPr>
            <w:tcW w:w="3444" w:type="dxa"/>
            <w:tcBorders/>
            <w:vAlign w:val="center"/>
          </w:tcPr>
          <w:p>
            <w:pPr>
              <w:pStyle w:val="Normal"/>
              <w:widowControl w:val="false"/>
              <w:ind w:hanging="0"/>
              <w:jc w:val="left"/>
              <w:rPr>
                <w:sz w:val="18"/>
                <w:szCs w:val="18"/>
              </w:rPr>
            </w:pPr>
            <w:r>
              <w:rPr>
                <w:b/>
                <w:bCs/>
                <w:szCs w:val="18"/>
              </w:rPr>
              <w:t>2.1 Printing Area</w:t>
            </w:r>
          </w:p>
        </w:tc>
        <w:tc>
          <w:tcPr>
            <w:tcW w:w="1754" w:type="dxa"/>
            <w:tcBorders/>
            <w:vAlign w:val="center"/>
          </w:tcPr>
          <w:p>
            <w:pPr>
              <w:pStyle w:val="Normal"/>
              <w:widowControl w:val="false"/>
              <w:ind w:hanging="0"/>
              <w:jc w:val="left"/>
              <w:rPr>
                <w:sz w:val="18"/>
                <w:szCs w:val="18"/>
              </w:rPr>
            </w:pPr>
            <w:r>
              <w:rPr>
                <w:sz w:val="18"/>
                <w:szCs w:val="18"/>
              </w:rPr>
              <w:t>10 point, bold</w:t>
            </w:r>
          </w:p>
        </w:tc>
      </w:tr>
      <w:tr>
        <w:trPr>
          <w:trHeight w:val="284" w:hRule="atLeast"/>
        </w:trPr>
        <w:tc>
          <w:tcPr>
            <w:tcW w:w="1691" w:type="dxa"/>
            <w:tcBorders/>
            <w:vAlign w:val="center"/>
          </w:tcPr>
          <w:p>
            <w:pPr>
              <w:pStyle w:val="Normal"/>
              <w:widowControl w:val="false"/>
              <w:ind w:hanging="0"/>
              <w:jc w:val="left"/>
              <w:rPr>
                <w:sz w:val="18"/>
                <w:szCs w:val="18"/>
              </w:rPr>
            </w:pPr>
            <w:r>
              <w:rPr>
                <w:sz w:val="18"/>
                <w:szCs w:val="18"/>
              </w:rPr>
              <w:t>3</w:t>
            </w:r>
            <w:r>
              <w:rPr>
                <w:sz w:val="18"/>
                <w:szCs w:val="18"/>
                <w:vertAlign w:val="superscript"/>
              </w:rPr>
              <w:t>rd</w:t>
            </w:r>
            <w:r>
              <w:rPr>
                <w:sz w:val="18"/>
                <w:szCs w:val="18"/>
              </w:rPr>
              <w:t>-level heading</w:t>
            </w:r>
          </w:p>
        </w:tc>
        <w:tc>
          <w:tcPr>
            <w:tcW w:w="3444" w:type="dxa"/>
            <w:tcBorders/>
            <w:vAlign w:val="center"/>
          </w:tcPr>
          <w:p>
            <w:pPr>
              <w:pStyle w:val="Normal"/>
              <w:widowControl w:val="false"/>
              <w:ind w:hanging="0"/>
              <w:jc w:val="left"/>
              <w:rPr>
                <w:sz w:val="18"/>
                <w:szCs w:val="18"/>
              </w:rPr>
            </w:pPr>
            <w:r>
              <w:rPr>
                <w:b/>
                <w:bCs/>
                <w:szCs w:val="18"/>
              </w:rPr>
              <w:t>Run-in Heading in Bold.</w:t>
            </w:r>
            <w:r>
              <w:rPr>
                <w:szCs w:val="18"/>
              </w:rPr>
              <w:t xml:space="preserve"> Text follows</w:t>
            </w:r>
          </w:p>
        </w:tc>
        <w:tc>
          <w:tcPr>
            <w:tcW w:w="1754" w:type="dxa"/>
            <w:tcBorders/>
            <w:vAlign w:val="center"/>
          </w:tcPr>
          <w:p>
            <w:pPr>
              <w:pStyle w:val="Normal"/>
              <w:widowControl w:val="false"/>
              <w:ind w:hanging="0"/>
              <w:jc w:val="left"/>
              <w:rPr>
                <w:sz w:val="18"/>
                <w:szCs w:val="18"/>
              </w:rPr>
            </w:pPr>
            <w:r>
              <w:rPr>
                <w:sz w:val="18"/>
                <w:szCs w:val="18"/>
              </w:rPr>
              <w:t>10 point, bold</w:t>
            </w:r>
          </w:p>
        </w:tc>
      </w:tr>
      <w:tr>
        <w:trPr>
          <w:trHeight w:val="284" w:hRule="atLeast"/>
        </w:trPr>
        <w:tc>
          <w:tcPr>
            <w:tcW w:w="1691" w:type="dxa"/>
            <w:tcBorders>
              <w:bottom w:val="single" w:sz="12" w:space="0" w:color="000000"/>
            </w:tcBorders>
            <w:vAlign w:val="center"/>
          </w:tcPr>
          <w:p>
            <w:pPr>
              <w:pStyle w:val="Normal"/>
              <w:widowControl w:val="false"/>
              <w:ind w:hanging="0"/>
              <w:jc w:val="left"/>
              <w:rPr>
                <w:sz w:val="18"/>
                <w:szCs w:val="18"/>
              </w:rPr>
            </w:pPr>
            <w:r>
              <w:rPr>
                <w:sz w:val="18"/>
                <w:szCs w:val="18"/>
              </w:rPr>
              <w:t>4</w:t>
            </w:r>
            <w:r>
              <w:rPr>
                <w:sz w:val="18"/>
                <w:szCs w:val="18"/>
                <w:vertAlign w:val="superscript"/>
              </w:rPr>
              <w:t>th</w:t>
            </w:r>
            <w:r>
              <w:rPr>
                <w:sz w:val="18"/>
                <w:szCs w:val="18"/>
              </w:rPr>
              <w:t>-level heading</w:t>
            </w:r>
          </w:p>
        </w:tc>
        <w:tc>
          <w:tcPr>
            <w:tcW w:w="3444" w:type="dxa"/>
            <w:tcBorders>
              <w:bottom w:val="single" w:sz="12" w:space="0" w:color="000000"/>
            </w:tcBorders>
            <w:vAlign w:val="center"/>
          </w:tcPr>
          <w:p>
            <w:pPr>
              <w:pStyle w:val="Normal"/>
              <w:widowControl w:val="false"/>
              <w:ind w:hanging="0"/>
              <w:jc w:val="left"/>
              <w:rPr>
                <w:sz w:val="18"/>
                <w:szCs w:val="18"/>
              </w:rPr>
            </w:pPr>
            <w:r>
              <w:rPr>
                <w:i/>
                <w:iCs/>
                <w:szCs w:val="18"/>
              </w:rPr>
              <w:t>Lowest Level Heading.</w:t>
            </w:r>
            <w:r>
              <w:rPr>
                <w:szCs w:val="18"/>
              </w:rPr>
              <w:t xml:space="preserve"> Text follows</w:t>
            </w:r>
          </w:p>
        </w:tc>
        <w:tc>
          <w:tcPr>
            <w:tcW w:w="1754" w:type="dxa"/>
            <w:tcBorders>
              <w:bottom w:val="single" w:sz="12" w:space="0" w:color="000000"/>
            </w:tcBorders>
            <w:vAlign w:val="center"/>
          </w:tcPr>
          <w:p>
            <w:pPr>
              <w:pStyle w:val="Normal"/>
              <w:widowControl w:val="false"/>
              <w:ind w:hanging="0"/>
              <w:jc w:val="left"/>
              <w:rPr>
                <w:sz w:val="18"/>
                <w:szCs w:val="18"/>
              </w:rPr>
            </w:pPr>
            <w:r>
              <w:rPr>
                <w:sz w:val="18"/>
                <w:szCs w:val="18"/>
              </w:rPr>
              <w:t>10 point, italic</w:t>
            </w:r>
          </w:p>
        </w:tc>
      </w:tr>
    </w:tbl>
    <w:p>
      <w:pPr>
        <w:pStyle w:val="Normal"/>
        <w:spacing w:before="240" w:after="0"/>
        <w:ind w:hanging="0"/>
        <w:rPr/>
      </w:pPr>
      <w:r>
        <w:rPr/>
        <w:t xml:space="preserve">Displayed equations are centered and set on a separate line. </w:t>
      </w:r>
    </w:p>
    <w:p>
      <w:pPr>
        <w:pStyle w:val="Equation"/>
        <w:rPr/>
      </w:pPr>
      <w:r>
        <w:rPr>
          <w:i/>
        </w:rPr>
        <w:tab/>
      </w:r>
      <w:bookmarkStart w:id="2" w:name="_Ref467511750"/>
      <w:bookmarkStart w:id="3" w:name="_Ref467511664"/>
      <w:r>
        <w:rPr>
          <w:i/>
        </w:rPr>
        <w:t>x</w:t>
      </w:r>
      <w:r>
        <w:rPr/>
        <w:t xml:space="preserve"> + </w:t>
      </w:r>
      <w:r>
        <w:rPr>
          <w:i/>
        </w:rPr>
        <w:t>y</w:t>
      </w:r>
      <w:r>
        <w:rPr/>
        <w:t xml:space="preserve"> = </w:t>
      </w:r>
      <w:r>
        <w:rPr>
          <w:i/>
        </w:rPr>
        <w:t>z</w:t>
      </w:r>
      <w:r>
        <w:rPr/>
        <w:tab/>
        <w:t>(</w:t>
      </w:r>
      <w:r>
        <w:rPr/>
        <w:fldChar w:fldCharType="begin"/>
      </w:r>
      <w:r>
        <w:rPr/>
        <w:instrText xml:space="preserve"> SEQ "Equation" \* ARABIC </w:instrText>
      </w:r>
      <w:r>
        <w:rPr/>
        <w:fldChar w:fldCharType="separate"/>
      </w:r>
      <w:r>
        <w:rPr/>
        <w:t>1</w:t>
      </w:r>
      <w:r>
        <w:rPr/>
        <w:fldChar w:fldCharType="end"/>
      </w:r>
      <w:bookmarkStart w:id="4" w:name="_Ref467511674"/>
      <w:bookmarkEnd w:id="3"/>
      <w:r>
        <w:rPr/>
        <w:t>)</w:t>
      </w:r>
      <w:bookmarkEnd w:id="2"/>
      <w:bookmarkEnd w:id="4"/>
    </w:p>
    <w:p>
      <w:pPr>
        <w:pStyle w:val="P1a"/>
        <w:tabs>
          <w:tab w:val="clear" w:pos="720"/>
          <w:tab w:val="left" w:pos="1929" w:leader="none"/>
        </w:tabs>
        <w:rPr/>
      </w:pPr>
      <w:r>
        <w:rPr/>
        <w:t xml:space="preserve">Please try to avoid rasterized images for line-art diagrams and schemas. Whenever possible, use vector graphics instead (see </w:t>
      </w:r>
      <w:r>
        <w:rPr/>
        <w:fldChar w:fldCharType="begin"/>
      </w:r>
      <w:r>
        <w:rPr/>
        <w:instrText xml:space="preserve"> REF _Ref467515387 \h </w:instrText>
      </w:r>
      <w:r>
        <w:rPr/>
        <w:fldChar w:fldCharType="separate"/>
      </w:r>
      <w:r>
        <w:rPr/>
        <w:t>Fig. 1</w:t>
      </w:r>
      <w:r>
        <w:rPr/>
        <w:fldChar w:fldCharType="end"/>
      </w:r>
      <w:r>
        <w:rPr/>
        <w:t>).</w:t>
      </w:r>
    </w:p>
    <w:p>
      <w:pPr>
        <w:pStyle w:val="Normal"/>
        <w:spacing w:before="360" w:after="0"/>
        <w:ind w:left="227" w:hanging="227"/>
        <w:rPr/>
      </w:pPr>
      <w:r>
        <w:rPr/>
        <w:drawing>
          <wp:inline distT="0" distB="0" distL="0" distR="0">
            <wp:extent cx="4392930" cy="185928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Figurecaption"/>
        <w:jc w:val="both"/>
        <w:rPr/>
      </w:pPr>
      <w:bookmarkStart w:id="5" w:name="_Ref467515387"/>
      <w:r>
        <w:rPr>
          <w:b/>
        </w:rPr>
        <w:t xml:space="preserve">Fig. </w:t>
      </w:r>
      <w:r>
        <w:rPr>
          <w:b/>
        </w:rPr>
        <w:fldChar w:fldCharType="begin"/>
      </w:r>
      <w:r>
        <w:rPr>
          <w:b/>
        </w:rPr>
        <w:instrText xml:space="preserve"> SEQ "Figure" \* ARABIC </w:instrText>
      </w:r>
      <w:r>
        <w:rPr>
          <w:b/>
        </w:rPr>
        <w:fldChar w:fldCharType="separate"/>
      </w:r>
      <w:r>
        <w:rPr>
          <w:b/>
        </w:rPr>
        <w:t>1</w:t>
      </w:r>
      <w:r>
        <w:rPr>
          <w:b/>
        </w:rPr>
        <w:fldChar w:fldCharType="end"/>
      </w:r>
      <w:bookmarkEnd w:id="5"/>
      <w:r>
        <w:rPr>
          <w:b/>
        </w:rPr>
        <w:t>.</w:t>
      </w:r>
      <w:r>
        <w:rPr/>
        <w:t xml:space="preserve"> A figure caption is always placed below the illustration. Short captions are centered, while long ones are justified. The macro button chooses the correct format automatically.</w:t>
      </w:r>
    </w:p>
    <w:p>
      <w:pPr>
        <w:pStyle w:val="P1a"/>
        <w:rPr/>
      </w:pPr>
      <w:r>
        <w:rPr/>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pPr>
        <w:pStyle w:val="Heading21"/>
        <w:numPr>
          <w:ilvl w:val="0"/>
          <w:numId w:val="0"/>
        </w:numPr>
        <w:ind w:left="567" w:hanging="567"/>
        <w:rPr/>
      </w:pPr>
      <w:r>
        <w:rPr/>
        <w:t>References</w:t>
      </w:r>
    </w:p>
    <w:p>
      <w:pPr>
        <w:pStyle w:val="Referenceitem"/>
        <w:numPr>
          <w:ilvl w:val="0"/>
          <w:numId w:val="5"/>
        </w:numPr>
        <w:rPr/>
      </w:pPr>
      <w:bookmarkStart w:id="6" w:name="_Ref467516178"/>
      <w:r>
        <w:rPr/>
        <w:t>Author, F.: Article title. Journal 2(5), 99–110 (2016).</w:t>
      </w:r>
      <w:bookmarkEnd w:id="6"/>
    </w:p>
    <w:p>
      <w:pPr>
        <w:pStyle w:val="Referenceitem"/>
        <w:numPr>
          <w:ilvl w:val="0"/>
          <w:numId w:val="5"/>
        </w:numPr>
        <w:rPr/>
      </w:pPr>
      <w:r>
        <w:rPr/>
        <w:t xml:space="preserve">Author, F., Author, S.: Title of a proceedings paper. In: Editor, F., Editor, S. (eds.) CONFERENCE 2016, LNCS, vol. 9999, pp. 1–13. Springer, Heidelberg (2016). </w:t>
      </w:r>
    </w:p>
    <w:p>
      <w:pPr>
        <w:pStyle w:val="Referenceitem"/>
        <w:numPr>
          <w:ilvl w:val="0"/>
          <w:numId w:val="5"/>
        </w:numPr>
        <w:rPr/>
      </w:pPr>
      <w:r>
        <w:rPr/>
        <w:t>Author, F., Author, S., Author, T.: Book title. 2nd edn. Publisher, Location (1999).</w:t>
      </w:r>
    </w:p>
    <w:p>
      <w:pPr>
        <w:pStyle w:val="Referenceitem"/>
        <w:numPr>
          <w:ilvl w:val="0"/>
          <w:numId w:val="5"/>
        </w:numPr>
        <w:rPr/>
      </w:pPr>
      <w:r>
        <w:rPr/>
        <w:t>Author, F.: Contribution title. In: 9th International Proceedings on Proceedings, pp. 1–2. Publisher, Location (2010).</w:t>
      </w:r>
    </w:p>
    <w:p>
      <w:pPr>
        <w:pStyle w:val="Referenceitem"/>
        <w:numPr>
          <w:ilvl w:val="0"/>
          <w:numId w:val="5"/>
        </w:numPr>
        <w:rPr/>
      </w:pPr>
      <w:r>
        <w:rPr/>
        <w:t xml:space="preserve">LNCS Homepage, </w:t>
      </w:r>
      <w:hyperlink r:id="rId3">
        <w:r>
          <w:rPr>
            <w:rStyle w:val="InternetLink"/>
          </w:rPr>
          <w:t>http://www.springer.com/lncs</w:t>
        </w:r>
      </w:hyperlink>
      <w:r>
        <w:rPr/>
        <w:t>, last accessed 2016/11/21.</w:t>
      </w:r>
    </w:p>
    <w:p>
      <w:pPr>
        <w:pStyle w:val="Normal"/>
        <w:rPr/>
      </w:pPr>
      <w:r>
        <w:rPr/>
      </w:r>
    </w:p>
    <w:sectPr>
      <w:headerReference w:type="even" r:id="rId4"/>
      <w:headerReference w:type="default" r:id="rId5"/>
      <w:type w:val="nextPage"/>
      <w:pgSz w:w="11906" w:h="16838"/>
      <w:pgMar w:left="2494" w:right="2494" w:gutter="0" w:header="2381" w:top="2948" w:footer="0" w:bottom="2948"/>
      <w:pgNumType w:fmt="decimal"/>
      <w:formProt w:val="false"/>
      <w:titlePg/>
      <w:textDirection w:val="lrTb"/>
      <w:docGrid w:type="default" w:linePitch="24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16"/>
        <w:szCs w:val="16"/>
        <w:lang w:val="fr-FR"/>
      </w:rPr>
    </w:pPr>
    <w:r>
      <w:rPr>
        <w:sz w:val="16"/>
        <w:szCs w:val="16"/>
        <w:lang w:val="fr-FR"/>
      </w:rPr>
      <w:t>Environnements Informatiques pour l’Apprentissage Humain 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6"/>
        <w:szCs w:val="16"/>
      </w:rPr>
    </w:pPr>
    <w:r>
      <w:rPr>
        <w:sz w:val="16"/>
        <w:szCs w:val="16"/>
      </w:rPr>
      <w:t>Titre court de l’article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2">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lvl w:ilvl="0">
      <w:start w:val="1"/>
      <w:numFmt w:val="decimal"/>
      <w:lvlText w:val="%1."/>
      <w:lvlJc w:val="right"/>
      <w:pPr>
        <w:tabs>
          <w:tab w:val="num" w:pos="0"/>
        </w:tabs>
        <w:ind w:left="227" w:hanging="57"/>
      </w:pPr>
      <w:rPr/>
    </w:lvl>
    <w:lvl w:ilvl="1">
      <w:start w:val="1"/>
      <w:numFmt w:val="lowerLetter"/>
      <w:lvlText w:val="%2."/>
      <w:lvlJc w:val="left"/>
      <w:pPr>
        <w:tabs>
          <w:tab w:val="num" w:pos="227"/>
        </w:tabs>
        <w:ind w:left="454" w:hanging="227"/>
      </w:pPr>
      <w:rPr/>
    </w:lvl>
    <w:lvl w:ilvl="2">
      <w:start w:val="1"/>
      <w:numFmt w:val="decimal"/>
      <w:lvlText w:val="(%3)"/>
      <w:lvlJc w:val="left"/>
      <w:pPr>
        <w:tabs>
          <w:tab w:val="num" w:pos="454"/>
        </w:tabs>
        <w:ind w:left="794" w:hanging="340"/>
      </w:pPr>
      <w:rPr/>
    </w:lvl>
    <w:lvl w:ilvl="3">
      <w:start w:val="1"/>
      <w:numFmt w:val="lowerRoman"/>
      <w:lvlText w:val="%4."/>
      <w:lvlJc w:val="left"/>
      <w:pPr>
        <w:tabs>
          <w:tab w:val="num" w:pos="794"/>
        </w:tabs>
        <w:ind w:left="1077" w:hanging="283"/>
      </w:pPr>
      <w:rPr/>
    </w:lvl>
    <w:lvl w:ilvl="4">
      <w:start w:val="1"/>
      <w:numFmt w:val="lowerLetter"/>
      <w:lvlText w:val="(%5)"/>
      <w:lvlJc w:val="left"/>
      <w:pPr>
        <w:tabs>
          <w:tab w:val="num" w:pos="1077"/>
        </w:tabs>
        <w:ind w:left="1360" w:hanging="283"/>
      </w:pPr>
      <w:rPr/>
    </w:lvl>
    <w:lvl w:ilvl="5">
      <w:start w:val="1"/>
      <w:numFmt w:val="upperLetter"/>
      <w:lvlText w:val="%6."/>
      <w:lvlJc w:val="left"/>
      <w:pPr>
        <w:tabs>
          <w:tab w:val="num" w:pos="1360"/>
        </w:tabs>
        <w:ind w:left="1700" w:hanging="34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decimal"/>
      <w:lvlText w:val="%1"/>
      <w:lvlJc w:val="left"/>
      <w:pPr>
        <w:tabs>
          <w:tab w:val="num" w:pos="567"/>
        </w:tabs>
        <w:ind w:left="567" w:hanging="567"/>
      </w:pPr>
      <w:rPr/>
    </w:lvl>
    <w:lvl w:ilvl="1">
      <w:start w:val="1"/>
      <w:numFmt w:val="decimal"/>
      <w:lvlText w:val="%1.%2"/>
      <w:lvlJc w:val="left"/>
      <w:pPr>
        <w:tabs>
          <w:tab w:val="num" w:pos="567"/>
        </w:tabs>
        <w:ind w:left="567" w:hanging="567"/>
      </w:pPr>
      <w:rPr/>
    </w:lvl>
    <w:lvl w:ilvl="2">
      <w:start w:val="1"/>
      <w:numFmt w:val="decimal"/>
      <w:lvlText w:val="%1.%2.%3"/>
      <w:lvlJc w:val="left"/>
      <w:pPr>
        <w:tabs>
          <w:tab w:val="num" w:pos="851"/>
        </w:tabs>
        <w:ind w:left="851" w:hanging="851"/>
      </w:pPr>
      <w:rPr/>
    </w:lvl>
    <w:lvl w:ilvl="3">
      <w:start w:val="1"/>
      <w:numFmt w:val="decimal"/>
      <w:lvlText w:val="%1.%2.%3.%4"/>
      <w:lvlJc w:val="left"/>
      <w:pPr>
        <w:tabs>
          <w:tab w:val="num" w:pos="851"/>
        </w:tabs>
        <w:ind w:left="851" w:hanging="851"/>
      </w:pPr>
      <w:rPr/>
    </w:lvl>
    <w:lvl w:ilvl="4">
      <w:start w:val="1"/>
      <w:numFmt w:val="decimal"/>
      <w:lvlText w:val="%1.%2.%3.%4.%5"/>
      <w:lvlJc w:val="left"/>
      <w:pPr>
        <w:tabs>
          <w:tab w:val="num" w:pos="964"/>
        </w:tabs>
        <w:ind w:left="964" w:hanging="964"/>
      </w:pPr>
      <w:rPr>
        <w:sz w:val="20"/>
        <w:i/>
        <w:b w:val="false"/>
        <w:rFonts w:ascii="Times New Roman" w:hAnsi="Times New Roman"/>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1"/>
      <w:numFmt w:val="decimal"/>
      <w:lvlText w:val="%1."/>
      <w:lvlJc w:val="right"/>
      <w:pPr>
        <w:tabs>
          <w:tab w:val="num" w:pos="341"/>
        </w:tabs>
        <w:ind w:left="341" w:hanging="114"/>
      </w:pPr>
      <w:rPr/>
    </w:lvl>
    <w:lvl w:ilvl="1">
      <w:start w:val="1"/>
      <w:numFmt w:val="lowerLetter"/>
      <w:lvlText w:val="%2."/>
      <w:lvlJc w:val="left"/>
      <w:pPr>
        <w:tabs>
          <w:tab w:val="num" w:pos="1896"/>
        </w:tabs>
        <w:ind w:left="1896" w:hanging="360"/>
      </w:pPr>
      <w:rPr/>
    </w:lvl>
    <w:lvl w:ilvl="2">
      <w:start w:val="1"/>
      <w:numFmt w:val="lowerRoman"/>
      <w:lvlText w:val="%3."/>
      <w:lvlJc w:val="right"/>
      <w:pPr>
        <w:tabs>
          <w:tab w:val="num" w:pos="2616"/>
        </w:tabs>
        <w:ind w:left="2616" w:hanging="180"/>
      </w:pPr>
      <w:rPr/>
    </w:lvl>
    <w:lvl w:ilvl="3">
      <w:start w:val="1"/>
      <w:numFmt w:val="decimal"/>
      <w:lvlText w:val="%4."/>
      <w:lvlJc w:val="left"/>
      <w:pPr>
        <w:tabs>
          <w:tab w:val="num" w:pos="3336"/>
        </w:tabs>
        <w:ind w:left="3336" w:hanging="360"/>
      </w:pPr>
      <w:rPr/>
    </w:lvl>
    <w:lvl w:ilvl="4">
      <w:start w:val="1"/>
      <w:numFmt w:val="lowerLetter"/>
      <w:lvlText w:val="%5."/>
      <w:lvlJc w:val="left"/>
      <w:pPr>
        <w:tabs>
          <w:tab w:val="num" w:pos="4056"/>
        </w:tabs>
        <w:ind w:left="4056" w:hanging="360"/>
      </w:pPr>
      <w:rPr/>
    </w:lvl>
    <w:lvl w:ilvl="5">
      <w:start w:val="1"/>
      <w:numFmt w:val="lowerRoman"/>
      <w:lvlText w:val="%6."/>
      <w:lvlJc w:val="right"/>
      <w:pPr>
        <w:tabs>
          <w:tab w:val="num" w:pos="4776"/>
        </w:tabs>
        <w:ind w:left="4776" w:hanging="180"/>
      </w:pPr>
      <w:rPr/>
    </w:lvl>
    <w:lvl w:ilvl="6">
      <w:start w:val="1"/>
      <w:numFmt w:val="decimal"/>
      <w:lvlText w:val="%7."/>
      <w:lvlJc w:val="left"/>
      <w:pPr>
        <w:tabs>
          <w:tab w:val="num" w:pos="5496"/>
        </w:tabs>
        <w:ind w:left="5496" w:hanging="360"/>
      </w:pPr>
      <w:rPr/>
    </w:lvl>
    <w:lvl w:ilvl="7">
      <w:start w:val="1"/>
      <w:numFmt w:val="lowerLetter"/>
      <w:lvlText w:val="%8."/>
      <w:lvlJc w:val="left"/>
      <w:pPr>
        <w:tabs>
          <w:tab w:val="num" w:pos="6216"/>
        </w:tabs>
        <w:ind w:left="6216" w:hanging="360"/>
      </w:pPr>
      <w:rPr/>
    </w:lvl>
    <w:lvl w:ilvl="8">
      <w:start w:val="1"/>
      <w:numFmt w:val="lowerRoman"/>
      <w:lvlText w:val="%9."/>
      <w:lvlJc w:val="right"/>
      <w:pPr>
        <w:tabs>
          <w:tab w:val="num" w:pos="6936"/>
        </w:tabs>
        <w:ind w:left="6936"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doNotHyphenateCaps/>
  <w:hyphenationZone w:val="40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7667"/>
    <w:pPr>
      <w:widowControl/>
      <w:suppressAutoHyphens w:val="false"/>
      <w:overflowPunct w:val="true"/>
      <w:bidi w:val="0"/>
      <w:spacing w:lineRule="atLeast" w:line="240" w:before="0" w:after="0"/>
      <w:ind w:firstLine="227"/>
      <w:jc w:val="both"/>
      <w:textAlignment w:val="baseline"/>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P1a"/>
    <w:semiHidden/>
    <w:unhideWhenUsed/>
    <w:qFormat/>
    <w:pPr>
      <w:keepNext w:val="true"/>
      <w:keepLines/>
      <w:suppressAutoHyphens w:val="true"/>
      <w:spacing w:lineRule="atLeast" w:line="300" w:before="360" w:after="240"/>
      <w:ind w:left="567" w:hanging="567"/>
      <w:jc w:val="left"/>
      <w:outlineLvl w:val="0"/>
    </w:pPr>
    <w:rPr>
      <w:b/>
      <w:sz w:val="24"/>
    </w:rPr>
  </w:style>
  <w:style w:type="paragraph" w:styleId="Heading2">
    <w:name w:val="Heading 2"/>
    <w:basedOn w:val="Normal"/>
    <w:next w:val="P1a"/>
    <w:semiHidden/>
    <w:unhideWhenUsed/>
    <w:qFormat/>
    <w:pPr>
      <w:keepNext w:val="true"/>
      <w:keepLines/>
      <w:suppressAutoHyphens w:val="true"/>
      <w:spacing w:before="360" w:after="160"/>
      <w:ind w:left="567" w:hanging="567"/>
      <w:jc w:val="left"/>
      <w:outlineLvl w:val="1"/>
    </w:pPr>
    <w:rPr>
      <w:b/>
    </w:rPr>
  </w:style>
  <w:style w:type="paragraph" w:styleId="Heading3">
    <w:name w:val="Heading 3"/>
    <w:basedOn w:val="Normal"/>
    <w:next w:val="Normal"/>
    <w:qFormat/>
    <w:pPr>
      <w:spacing w:before="360" w:after="0"/>
      <w:ind w:hanging="0"/>
      <w:outlineLvl w:val="2"/>
    </w:pPr>
    <w:rPr/>
  </w:style>
  <w:style w:type="paragraph" w:styleId="Heading4">
    <w:name w:val="Heading 4"/>
    <w:basedOn w:val="Normal"/>
    <w:next w:val="Normal"/>
    <w:qFormat/>
    <w:pPr>
      <w:spacing w:before="240" w:after="0"/>
      <w:ind w:hanging="0"/>
      <w:outlineLvl w:val="3"/>
    </w:pPr>
    <w:rPr/>
  </w:style>
  <w:style w:type="character" w:styleId="DefaultParagraphFont" w:default="1">
    <w:name w:val="Default Paragraph Font"/>
    <w:uiPriority w:val="1"/>
    <w:semiHidden/>
    <w:unhideWhenUsed/>
    <w:qFormat/>
    <w:rPr/>
  </w:style>
  <w:style w:type="character" w:styleId="Email" w:customStyle="1">
    <w:name w:val="e-mail"/>
    <w:basedOn w:val="DefaultParagraphFont"/>
    <w:qFormat/>
    <w:rPr>
      <w:rFonts w:ascii="Courier" w:hAnsi="Courier"/>
    </w:rPr>
  </w:style>
  <w:style w:type="character" w:styleId="FootnoteCharacters">
    <w:name w:val="Footnote Characters"/>
    <w:basedOn w:val="DefaultParagraphFont"/>
    <w:semiHidden/>
    <w:unhideWhenUsed/>
    <w:qFormat/>
    <w:rPr>
      <w:vertAlign w:val="superscript"/>
    </w:rPr>
  </w:style>
  <w:style w:type="character" w:styleId="FootnoteAnchor">
    <w:name w:val="Footnote Reference"/>
    <w:rPr>
      <w:vertAlign w:val="superscript"/>
    </w:rPr>
  </w:style>
  <w:style w:type="character" w:styleId="Heading31" w:customStyle="1">
    <w:name w:val="heading3"/>
    <w:basedOn w:val="DefaultParagraphFont"/>
    <w:qFormat/>
    <w:rPr>
      <w:b/>
    </w:rPr>
  </w:style>
  <w:style w:type="character" w:styleId="Heading41" w:customStyle="1">
    <w:name w:val="heading4"/>
    <w:basedOn w:val="DefaultParagraphFont"/>
    <w:qFormat/>
    <w:rPr>
      <w:i/>
    </w:rPr>
  </w:style>
  <w:style w:type="character" w:styleId="InternetLink">
    <w:name w:val="Hyperlink"/>
    <w:basedOn w:val="DefaultParagraphFont"/>
    <w:unhideWhenUsed/>
    <w:rPr>
      <w:color w:val="auto"/>
      <w:u w:val="none"/>
    </w:rPr>
  </w:style>
  <w:style w:type="character" w:styleId="Pagenumber">
    <w:name w:val="page number"/>
    <w:basedOn w:val="DefaultParagraphFont"/>
    <w:semiHidden/>
    <w:unhideWhenUsed/>
    <w:qFormat/>
    <w:rPr>
      <w:sz w:val="18"/>
    </w:rPr>
  </w:style>
  <w:style w:type="character" w:styleId="Url" w:customStyle="1">
    <w:name w:val="url"/>
    <w:basedOn w:val="DefaultParagraphFont"/>
    <w:qFormat/>
    <w:rPr>
      <w:rFonts w:ascii="Courier" w:hAnsi="Courier"/>
    </w:rPr>
  </w:style>
  <w:style w:type="character" w:styleId="ORCID" w:customStyle="1">
    <w:name w:val="ORCID"/>
    <w:basedOn w:val="DefaultParagraphFont"/>
    <w:qFormat/>
    <w:rPr>
      <w:vertAlign w:val="superscript"/>
    </w:rPr>
  </w:style>
  <w:style w:type="character" w:styleId="P1aZchn" w:customStyle="1">
    <w:name w:val="p1a Zchn"/>
    <w:link w:val="P1a"/>
    <w:qFormat/>
    <w:rsid w:val="009964ef"/>
    <w:rPr/>
  </w:style>
  <w:style w:type="character" w:styleId="UnresolvedMention" w:customStyle="1">
    <w:name w:val="Unresolved Mention"/>
    <w:basedOn w:val="DefaultParagraphFont"/>
    <w:uiPriority w:val="99"/>
    <w:semiHidden/>
    <w:unhideWhenUsed/>
    <w:qFormat/>
    <w:rsid w:val="009964e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qFormat/>
    <w:pPr>
      <w:spacing w:lineRule="atLeast" w:line="220" w:before="600" w:after="360"/>
      <w:ind w:left="567" w:right="567" w:firstLine="227"/>
      <w:contextualSpacing/>
    </w:pPr>
    <w:rPr>
      <w:sz w:val="18"/>
    </w:rPr>
  </w:style>
  <w:style w:type="paragraph" w:styleId="Address" w:customStyle="1">
    <w:name w:val="address"/>
    <w:basedOn w:val="Normal"/>
    <w:qFormat/>
    <w:pPr>
      <w:spacing w:lineRule="atLeast" w:line="220" w:before="0" w:after="200"/>
      <w:ind w:hanging="0"/>
      <w:contextualSpacing/>
      <w:jc w:val="center"/>
    </w:pPr>
    <w:rPr>
      <w:sz w:val="18"/>
    </w:rPr>
  </w:style>
  <w:style w:type="paragraph" w:styleId="Author" w:customStyle="1">
    <w:name w:val="author"/>
    <w:basedOn w:val="Normal"/>
    <w:next w:val="Address"/>
    <w:qFormat/>
    <w:pPr>
      <w:spacing w:lineRule="atLeast" w:line="220" w:before="0" w:after="200"/>
      <w:ind w:hanging="0"/>
      <w:jc w:val="center"/>
    </w:pPr>
    <w:rPr/>
  </w:style>
  <w:style w:type="paragraph" w:styleId="Bulletitem" w:customStyle="1">
    <w:name w:val="bulletitem"/>
    <w:basedOn w:val="Normal"/>
    <w:qFormat/>
    <w:pPr>
      <w:numPr>
        <w:ilvl w:val="0"/>
        <w:numId w:val="1"/>
      </w:numPr>
      <w:spacing w:before="160" w:after="160"/>
      <w:contextualSpacing/>
    </w:pPr>
    <w:rPr/>
  </w:style>
  <w:style w:type="paragraph" w:styleId="Dashitem" w:customStyle="1">
    <w:name w:val="dashitem"/>
    <w:basedOn w:val="Normal"/>
    <w:qFormat/>
    <w:pPr>
      <w:numPr>
        <w:ilvl w:val="0"/>
        <w:numId w:val="2"/>
      </w:numPr>
      <w:spacing w:before="160" w:after="160"/>
      <w:contextualSpacing/>
    </w:pPr>
    <w:rPr/>
  </w:style>
  <w:style w:type="paragraph" w:styleId="Equation" w:customStyle="1">
    <w:name w:val="equation"/>
    <w:basedOn w:val="Normal"/>
    <w:next w:val="Normal"/>
    <w:qFormat/>
    <w:pPr>
      <w:tabs>
        <w:tab w:val="clear" w:pos="720"/>
        <w:tab w:val="center" w:pos="3289" w:leader="none"/>
        <w:tab w:val="right" w:pos="6917" w:leader="none"/>
      </w:tabs>
      <w:spacing w:before="160" w:after="160"/>
      <w:ind w:hanging="0"/>
    </w:pPr>
    <w:rPr/>
  </w:style>
  <w:style w:type="paragraph" w:styleId="Figurecaption" w:customStyle="1">
    <w:name w:val="figurecaption"/>
    <w:basedOn w:val="Normal"/>
    <w:next w:val="Normal"/>
    <w:qFormat/>
    <w:pPr>
      <w:keepLines/>
      <w:spacing w:lineRule="atLeast" w:line="220" w:before="120" w:after="240"/>
      <w:ind w:hanging="0"/>
      <w:jc w:val="center"/>
    </w:pPr>
    <w:rPr>
      <w:sz w:val="18"/>
    </w:rPr>
  </w:style>
  <w:style w:type="paragraph" w:styleId="HeaderandFooter">
    <w:name w:val="Header and Footer"/>
    <w:basedOn w:val="Normal"/>
    <w:qFormat/>
    <w:pPr/>
    <w:rPr/>
  </w:style>
  <w:style w:type="paragraph" w:styleId="Footer">
    <w:name w:val="Footer"/>
    <w:basedOn w:val="Normal"/>
    <w:unhideWhenUsed/>
    <w:pPr/>
    <w:rPr/>
  </w:style>
  <w:style w:type="paragraph" w:styleId="Heading11" w:customStyle="1">
    <w:name w:val="heading1"/>
    <w:basedOn w:val="Normal"/>
    <w:next w:val="P1a"/>
    <w:qFormat/>
    <w:pPr>
      <w:keepNext w:val="true"/>
      <w:keepLines/>
      <w:numPr>
        <w:ilvl w:val="0"/>
        <w:numId w:val="4"/>
      </w:numPr>
      <w:suppressAutoHyphens w:val="true"/>
      <w:spacing w:lineRule="atLeast" w:line="300" w:before="360" w:after="240"/>
      <w:jc w:val="left"/>
      <w:outlineLvl w:val="0"/>
    </w:pPr>
    <w:rPr>
      <w:b/>
      <w:sz w:val="24"/>
    </w:rPr>
  </w:style>
  <w:style w:type="paragraph" w:styleId="Heading21" w:customStyle="1">
    <w:name w:val="heading2"/>
    <w:basedOn w:val="Normal"/>
    <w:next w:val="P1a"/>
    <w:qFormat/>
    <w:pPr>
      <w:keepNext w:val="true"/>
      <w:keepLines/>
      <w:numPr>
        <w:ilvl w:val="1"/>
        <w:numId w:val="4"/>
      </w:numPr>
      <w:suppressAutoHyphens w:val="true"/>
      <w:spacing w:before="360" w:after="160"/>
      <w:jc w:val="left"/>
      <w:outlineLvl w:val="1"/>
    </w:pPr>
    <w:rPr>
      <w:b/>
    </w:rPr>
  </w:style>
  <w:style w:type="paragraph" w:styleId="Image" w:customStyle="1">
    <w:name w:val="image"/>
    <w:basedOn w:val="Normal"/>
    <w:next w:val="Normal"/>
    <w:qFormat/>
    <w:pPr>
      <w:spacing w:before="240" w:after="120"/>
      <w:ind w:hanging="0"/>
      <w:jc w:val="center"/>
    </w:pPr>
    <w:rPr/>
  </w:style>
  <w:style w:type="paragraph" w:styleId="Keywords" w:customStyle="1">
    <w:name w:val="keywords"/>
    <w:basedOn w:val="Abstract"/>
    <w:next w:val="Heading11"/>
    <w:qFormat/>
    <w:pPr>
      <w:spacing w:before="220" w:after="360"/>
      <w:ind w:left="567" w:right="567" w:hanging="0"/>
      <w:contextualSpacing w:val="false"/>
      <w:jc w:val="left"/>
    </w:pPr>
    <w:rPr/>
  </w:style>
  <w:style w:type="paragraph" w:styleId="Header">
    <w:name w:val="Header"/>
    <w:basedOn w:val="Normal"/>
    <w:unhideWhenUsed/>
    <w:pPr>
      <w:tabs>
        <w:tab w:val="clear" w:pos="720"/>
        <w:tab w:val="center" w:pos="4536" w:leader="none"/>
        <w:tab w:val="right" w:pos="9072" w:leader="none"/>
      </w:tabs>
      <w:ind w:hanging="0"/>
    </w:pPr>
    <w:rPr>
      <w:sz w:val="18"/>
      <w:szCs w:val="18"/>
    </w:rPr>
  </w:style>
  <w:style w:type="paragraph" w:styleId="Numitem" w:customStyle="1">
    <w:name w:val="numitem"/>
    <w:basedOn w:val="Normal"/>
    <w:qFormat/>
    <w:pPr>
      <w:numPr>
        <w:ilvl w:val="0"/>
        <w:numId w:val="3"/>
      </w:numPr>
      <w:spacing w:before="160" w:after="160"/>
      <w:contextualSpacing/>
    </w:pPr>
    <w:rPr/>
  </w:style>
  <w:style w:type="paragraph" w:styleId="P1a" w:customStyle="1">
    <w:name w:val="p1a"/>
    <w:basedOn w:val="Normal"/>
    <w:next w:val="Normal"/>
    <w:link w:val="P1aZchn"/>
    <w:qFormat/>
    <w:pPr>
      <w:ind w:hanging="0"/>
    </w:pPr>
    <w:rPr/>
  </w:style>
  <w:style w:type="paragraph" w:styleId="Programcode" w:customStyle="1">
    <w:name w:val="programcode"/>
    <w:basedOn w:val="Normal"/>
    <w:qFormat/>
    <w:pPr>
      <w:tabs>
        <w:tab w:val="clear" w:pos="720"/>
        <w:tab w:val="left" w:pos="227" w:leader="none"/>
        <w:tab w:val="left" w:pos="454" w:leader="none"/>
        <w:tab w:val="left" w:pos="680" w:leader="none"/>
        <w:tab w:val="left" w:pos="907" w:leader="none"/>
        <w:tab w:val="left" w:pos="1134" w:leader="none"/>
        <w:tab w:val="left" w:pos="1361" w:leader="none"/>
        <w:tab w:val="left" w:pos="1588" w:leader="none"/>
        <w:tab w:val="left" w:pos="1814" w:leader="none"/>
        <w:tab w:val="left" w:pos="2041" w:leader="none"/>
        <w:tab w:val="left" w:pos="2268" w:leader="none"/>
        <w:tab w:val="left" w:pos="2495" w:leader="none"/>
        <w:tab w:val="left" w:pos="2722" w:leader="none"/>
        <w:tab w:val="left" w:pos="2948" w:leader="none"/>
        <w:tab w:val="left" w:pos="3175" w:leader="none"/>
        <w:tab w:val="left" w:pos="3402" w:leader="none"/>
        <w:tab w:val="left" w:pos="3629" w:leader="none"/>
        <w:tab w:val="left" w:pos="3856" w:leader="none"/>
        <w:tab w:val="left" w:pos="4082" w:leader="none"/>
        <w:tab w:val="left" w:pos="4309" w:leader="none"/>
        <w:tab w:val="left" w:pos="4536" w:leader="none"/>
        <w:tab w:val="left" w:pos="4763" w:leader="none"/>
        <w:tab w:val="left" w:pos="4990" w:leader="none"/>
        <w:tab w:val="left" w:pos="5216" w:leader="none"/>
        <w:tab w:val="left" w:pos="5443" w:leader="none"/>
        <w:tab w:val="left" w:pos="5670" w:leader="none"/>
        <w:tab w:val="left" w:pos="5897" w:leader="none"/>
        <w:tab w:val="left" w:pos="6124" w:leader="none"/>
        <w:tab w:val="left" w:pos="6350" w:leader="none"/>
        <w:tab w:val="left" w:pos="6577" w:leader="none"/>
      </w:tabs>
      <w:spacing w:before="160" w:after="160"/>
      <w:ind w:hanging="0"/>
      <w:contextualSpacing/>
      <w:jc w:val="left"/>
    </w:pPr>
    <w:rPr>
      <w:rFonts w:ascii="Courier" w:hAnsi="Courier"/>
    </w:rPr>
  </w:style>
  <w:style w:type="paragraph" w:styleId="Referenceitem" w:customStyle="1">
    <w:name w:val="referenceitem"/>
    <w:basedOn w:val="Normal"/>
    <w:qFormat/>
    <w:pPr>
      <w:numPr>
        <w:ilvl w:val="0"/>
        <w:numId w:val="5"/>
      </w:numPr>
      <w:spacing w:lineRule="atLeast" w:line="220"/>
    </w:pPr>
    <w:rPr>
      <w:sz w:val="18"/>
    </w:rPr>
  </w:style>
  <w:style w:type="paragraph" w:styleId="Runningheadleft" w:customStyle="1">
    <w:name w:val="running head - left"/>
    <w:basedOn w:val="Normal"/>
    <w:qFormat/>
    <w:pPr>
      <w:ind w:hanging="0"/>
      <w:jc w:val="left"/>
    </w:pPr>
    <w:rPr>
      <w:sz w:val="18"/>
      <w:szCs w:val="18"/>
    </w:rPr>
  </w:style>
  <w:style w:type="paragraph" w:styleId="Runningheadright" w:customStyle="1">
    <w:name w:val="running head - right"/>
    <w:basedOn w:val="Normal"/>
    <w:qFormat/>
    <w:pPr>
      <w:ind w:hanging="0"/>
      <w:jc w:val="right"/>
    </w:pPr>
    <w:rPr>
      <w:bCs/>
      <w:sz w:val="18"/>
      <w:szCs w:val="18"/>
    </w:rPr>
  </w:style>
  <w:style w:type="paragraph" w:styleId="Papertitle" w:customStyle="1">
    <w:name w:val="papertitle"/>
    <w:basedOn w:val="Normal"/>
    <w:next w:val="Author"/>
    <w:qFormat/>
    <w:pPr>
      <w:keepNext w:val="true"/>
      <w:keepLines/>
      <w:suppressAutoHyphens w:val="true"/>
      <w:spacing w:lineRule="atLeast" w:line="360" w:before="0" w:after="480"/>
      <w:ind w:hanging="0"/>
      <w:jc w:val="center"/>
    </w:pPr>
    <w:rPr>
      <w:b/>
      <w:sz w:val="28"/>
    </w:rPr>
  </w:style>
  <w:style w:type="paragraph" w:styleId="Papersubtitle" w:customStyle="1">
    <w:name w:val="papersubtitle"/>
    <w:basedOn w:val="Papertitle"/>
    <w:next w:val="Author"/>
    <w:qFormat/>
    <w:pPr>
      <w:spacing w:lineRule="atLeast" w:line="280" w:before="120" w:after="480"/>
    </w:pPr>
    <w:rPr>
      <w:sz w:val="24"/>
    </w:rPr>
  </w:style>
  <w:style w:type="paragraph" w:styleId="Tablecaption" w:customStyle="1">
    <w:name w:val="tablecaption"/>
    <w:basedOn w:val="Normal"/>
    <w:next w:val="Normal"/>
    <w:qFormat/>
    <w:pPr>
      <w:keepNext w:val="true"/>
      <w:keepLines/>
      <w:spacing w:lineRule="atLeast" w:line="220" w:before="240" w:after="120"/>
      <w:ind w:hanging="0"/>
      <w:jc w:val="center"/>
    </w:pPr>
    <w:rPr>
      <w:sz w:val="18"/>
    </w:rPr>
  </w:style>
  <w:style w:type="paragraph" w:styleId="Footnote">
    <w:name w:val="Footnote Text"/>
    <w:basedOn w:val="Normal"/>
    <w:semiHidden/>
    <w:pPr>
      <w:spacing w:lineRule="atLeast" w:line="220"/>
      <w:ind w:left="227" w:hanging="227"/>
    </w:pPr>
    <w:rPr>
      <w:sz w:val="18"/>
    </w:rPr>
  </w:style>
  <w:style w:type="paragraph" w:styleId="ReferenceLine" w:customStyle="1">
    <w:name w:val="ReferenceLine"/>
    <w:basedOn w:val="P1a"/>
    <w:semiHidden/>
    <w:unhideWhenUsed/>
    <w:qFormat/>
    <w:pPr>
      <w:spacing w:lineRule="exact" w:line="200"/>
    </w:pPr>
    <w:rPr>
      <w:sz w:val="16"/>
    </w:rPr>
  </w:style>
  <w:style w:type="numbering" w:styleId="NoList" w:default="1">
    <w:name w:val="No List"/>
    <w:uiPriority w:val="99"/>
    <w:semiHidden/>
    <w:unhideWhenUsed/>
    <w:qFormat/>
  </w:style>
  <w:style w:type="numbering" w:styleId="Arabnumitem" w:customStyle="1">
    <w:name w:val="arabnumitem"/>
    <w:qFormat/>
  </w:style>
  <w:style w:type="numbering" w:styleId="Headings" w:customStyle="1">
    <w:name w:val="headings"/>
    <w:qFormat/>
  </w:style>
  <w:style w:type="numbering" w:styleId="Itemization1" w:customStyle="1">
    <w:name w:val="itemization1"/>
    <w:qFormat/>
  </w:style>
  <w:style w:type="numbering" w:styleId="Itemization2" w:customStyle="1">
    <w:name w:val="itemization2"/>
    <w:qFormat/>
  </w:style>
  <w:style w:type="numbering" w:styleId="Referencelist" w:customStyle="1">
    <w:name w:val="referencelist"/>
    <w:semiHidden/>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springer.com/lnc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075"/>
          <c:y val="0.0514444444444444"/>
          <c:w val="0.9405"/>
          <c:h val="0.832666666666667"/>
        </c:manualLayout>
      </c:layout>
      <c:lineChart>
        <c:grouping val="standard"/>
        <c:varyColors val="0"/>
        <c:ser>
          <c:idx val="0"/>
          <c:order val="0"/>
          <c:tx>
            <c:strRef>
              <c:f>label 0</c:f>
              <c:strCache>
                <c:ptCount val="1"/>
                <c:pt idx="0">
                  <c:v>Data A</c:v>
                </c:pt>
              </c:strCache>
            </c:strRef>
          </c:tx>
          <c:spPr>
            <a:solidFill>
              <a:srgbClr val="000000"/>
            </a:solidFill>
            <a:ln w="12600">
              <a:solidFill>
                <a:srgbClr val="000000"/>
              </a:solidFill>
              <a:prstDash val="sysDash"/>
              <a:round/>
            </a:ln>
          </c:spPr>
          <c:marker>
            <c:symbol val="none"/>
          </c:marker>
          <c:dPt>
            <c:idx val="9"/>
            <c:marker>
              <c:symbol val="none"/>
            </c:marker>
          </c:dPt>
          <c:dLbls>
            <c:dLbl>
              <c:idx val="9"/>
              <c:txPr>
                <a:bodyPr wrap="square"/>
                <a:lstStyle/>
                <a:p>
                  <a:pPr>
                    <a:defRPr b="0" sz="800" spc="-1" strike="noStrike">
                      <a:solidFill>
                        <a:srgbClr val="000000"/>
                      </a:solidFill>
                      <a:latin typeface="Calibri"/>
                    </a:defRPr>
                  </a:pPr>
                </a:p>
              </c:txPr>
              <c:dLblPos val="r"/>
              <c:showLegendKey val="0"/>
              <c:showVal val="0"/>
              <c:showCatName val="0"/>
              <c:showSerName val="0"/>
              <c:showPercent val="0"/>
              <c:separator>; </c:separator>
            </c:dLbl>
            <c:txPr>
              <a:bodyPr wrap="square"/>
              <a:lstStyle/>
              <a:p>
                <a:pPr>
                  <a:defRPr b="0" sz="8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strCache>
            </c:strRef>
          </c:cat>
          <c:val>
            <c:numRef>
              <c:f>0</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ser>
        <c:ser>
          <c:idx val="1"/>
          <c:order val="1"/>
          <c:tx>
            <c:strRef>
              <c:f>label 1</c:f>
              <c:strCache>
                <c:ptCount val="1"/>
                <c:pt idx="0">
                  <c:v>Data B</c:v>
                </c:pt>
              </c:strCache>
            </c:strRef>
          </c:tx>
          <c:spPr>
            <a:solidFill>
              <a:srgbClr val="ed7d31"/>
            </a:solidFill>
            <a:ln w="12600">
              <a:solidFill>
                <a:srgbClr val="ed7d31"/>
              </a:solidFill>
              <a:round/>
            </a:ln>
          </c:spPr>
          <c:marker>
            <c:symbol val="none"/>
          </c:marker>
          <c:dLbls>
            <c:txPr>
              <a:bodyPr wrap="square"/>
              <a:lstStyle/>
              <a:p>
                <a:pPr>
                  <a:defRPr b="0" sz="8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strCache>
            </c:strRef>
          </c:cat>
          <c:val>
            <c:numRef>
              <c:f>1</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c:v>
                </c:pt>
                <c:pt idx="18">
                  <c:v>19.2</c:v>
                </c:pt>
                <c:pt idx="19">
                  <c:v>18.25</c:v>
                </c:pt>
                <c:pt idx="20">
                  <c:v>22</c:v>
                </c:pt>
                <c:pt idx="21">
                  <c:v>24</c:v>
                </c:pt>
                <c:pt idx="22">
                  <c:v>25</c:v>
                </c:pt>
                <c:pt idx="23">
                  <c:v>23.5</c:v>
                </c:pt>
                <c:pt idx="24">
                  <c:v>21</c:v>
                </c:pt>
                <c:pt idx="25">
                  <c:v>16.9</c:v>
                </c:pt>
                <c:pt idx="26">
                  <c:v>17.5</c:v>
                </c:pt>
                <c:pt idx="27">
                  <c:v>18.2</c:v>
                </c:pt>
                <c:pt idx="28">
                  <c:v>19.1</c:v>
                </c:pt>
                <c:pt idx="29">
                  <c:v>14.8</c:v>
                </c:pt>
                <c:pt idx="30">
                  <c:v>15.2</c:v>
                </c:pt>
              </c:numCache>
            </c:numRef>
          </c:val>
          <c:smooth val="0"/>
        </c:ser>
        <c:hiLowLines>
          <c:spPr>
            <a:ln w="0">
              <a:noFill/>
            </a:ln>
          </c:spPr>
        </c:hiLowLines>
        <c:marker val="0"/>
        <c:axId val="95125661"/>
        <c:axId val="96620948"/>
      </c:lineChart>
      <c:catAx>
        <c:axId val="95125661"/>
        <c:scaling>
          <c:orientation val="minMax"/>
        </c:scaling>
        <c:delete val="0"/>
        <c:axPos val="b"/>
        <c:numFmt formatCode="General" sourceLinked="0"/>
        <c:majorTickMark val="out"/>
        <c:minorTickMark val="none"/>
        <c:tickLblPos val="nextTo"/>
        <c:spPr>
          <a:ln w="6480">
            <a:solidFill>
              <a:srgbClr val="8b8b8b"/>
            </a:solidFill>
            <a:round/>
          </a:ln>
        </c:spPr>
        <c:txPr>
          <a:bodyPr/>
          <a:lstStyle/>
          <a:p>
            <a:pPr>
              <a:defRPr b="0" sz="800" spc="-1" strike="noStrike">
                <a:solidFill>
                  <a:srgbClr val="000000"/>
                </a:solidFill>
                <a:latin typeface="Calibri"/>
              </a:defRPr>
            </a:pPr>
          </a:p>
        </c:txPr>
        <c:crossAx val="96620948"/>
        <c:crosses val="autoZero"/>
        <c:auto val="1"/>
        <c:lblAlgn val="ctr"/>
        <c:lblOffset val="100"/>
        <c:noMultiLvlLbl val="0"/>
      </c:catAx>
      <c:valAx>
        <c:axId val="96620948"/>
        <c:scaling>
          <c:orientation val="minMax"/>
        </c:scaling>
        <c:delete val="0"/>
        <c:axPos val="l"/>
        <c:numFmt formatCode="General" sourceLinked="0"/>
        <c:majorTickMark val="out"/>
        <c:minorTickMark val="none"/>
        <c:tickLblPos val="nextTo"/>
        <c:spPr>
          <a:ln w="6480">
            <a:solidFill>
              <a:srgbClr val="8b8b8b"/>
            </a:solidFill>
            <a:round/>
          </a:ln>
        </c:spPr>
        <c:txPr>
          <a:bodyPr/>
          <a:lstStyle/>
          <a:p>
            <a:pPr>
              <a:defRPr b="0" sz="800" spc="-1" strike="noStrike">
                <a:solidFill>
                  <a:srgbClr val="000000"/>
                </a:solidFill>
                <a:latin typeface="Calibri"/>
              </a:defRPr>
            </a:pPr>
          </a:p>
        </c:txPr>
        <c:crossAx val="95125661"/>
        <c:crossesAt val="1"/>
        <c:crossBetween val="midCat"/>
      </c:valAx>
      <c:spPr>
        <a:noFill/>
        <a:ln w="0">
          <a:noFill/>
        </a:ln>
      </c:spPr>
    </c:plotArea>
    <c:legend>
      <c:legendPos val="r"/>
      <c:layout>
        <c:manualLayout>
          <c:xMode val="edge"/>
          <c:yMode val="edge"/>
          <c:x val="0.1395625"/>
          <c:y val="0.166222222222222"/>
          <c:w val="0.190261891368211"/>
          <c:h val="0.167351927991999"/>
        </c:manualLayout>
      </c:layout>
      <c:overlay val="0"/>
      <c:spPr>
        <a:noFill/>
        <a:ln w="0">
          <a:noFill/>
        </a:ln>
      </c:spPr>
      <c:txPr>
        <a:bodyPr/>
        <a:lstStyle/>
        <a:p>
          <a:pPr>
            <a:defRPr b="0" sz="800" spc="-1" strike="noStrike">
              <a:solidFill>
                <a:srgbClr val="000000"/>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LibreOffice/7.4.3.2$Linux_X86_64 LibreOffice_project/40$Build-2</Application>
  <AppVersion>15.0000</AppVersion>
  <Pages>3</Pages>
  <Words>629</Words>
  <Characters>3571</Characters>
  <CharactersWithSpaces>4140</CharactersWithSpaces>
  <Paragraphs>53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2022-12-07T14:44:00Z</dcterms:created>
  <dc:creator>Markus Richter</dc:creator>
  <dc:description/>
  <dc:language>en-US</dc:language>
  <cp:lastModifiedBy>Iksal Sébastien</cp:lastModifiedBy>
  <dcterms:modified xsi:type="dcterms:W3CDTF">2022-12-07T14:44:00Z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