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F5" w:rsidRPr="007E05F5" w:rsidRDefault="007E05F5" w:rsidP="007E0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5F5">
        <w:rPr>
          <w:rFonts w:ascii="Times New Roman" w:eastAsia="Times New Roman" w:hAnsi="Times New Roman" w:cs="Times New Roman"/>
          <w:b/>
          <w:bCs/>
          <w:sz w:val="27"/>
          <w:szCs w:val="27"/>
        </w:rPr>
        <w:t>ONION NASARPURI SEEDS</w:t>
      </w:r>
    </w:p>
    <w:p w:rsidR="007E05F5" w:rsidRPr="007E05F5" w:rsidRDefault="007E05F5" w:rsidP="007E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F5">
        <w:rPr>
          <w:rFonts w:ascii="Times New Roman" w:eastAsia="Times New Roman" w:hAnsi="Times New Roman" w:cs="Times New Roman"/>
          <w:b/>
          <w:bCs/>
          <w:sz w:val="24"/>
          <w:szCs w:val="24"/>
        </w:rPr>
        <w:t>Bold Bulbs. Brilliant Color. Reliable Performance.</w:t>
      </w:r>
      <w:r w:rsidRPr="007E05F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05F5">
        <w:rPr>
          <w:rFonts w:ascii="Times New Roman" w:eastAsia="Times New Roman" w:hAnsi="Times New Roman" w:cs="Times New Roman"/>
          <w:sz w:val="24"/>
          <w:szCs w:val="24"/>
        </w:rPr>
        <w:t>Nasarpuri</w:t>
      </w:r>
      <w:proofErr w:type="spellEnd"/>
      <w:r w:rsidRPr="007E05F5">
        <w:rPr>
          <w:rFonts w:ascii="Times New Roman" w:eastAsia="Times New Roman" w:hAnsi="Times New Roman" w:cs="Times New Roman"/>
          <w:sz w:val="24"/>
          <w:szCs w:val="24"/>
        </w:rPr>
        <w:t xml:space="preserve"> is a trusted variety known for its well-shaped, large-sized bulbs that stand out in the market. The bulbs have a light red hue and an attractive appearance that draws attention.</w:t>
      </w:r>
    </w:p>
    <w:p w:rsidR="007E05F5" w:rsidRPr="007E05F5" w:rsidRDefault="007E05F5" w:rsidP="007E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E05F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bookmarkEnd w:id="0"/>
    <w:p w:rsidR="007E05F5" w:rsidRPr="007E05F5" w:rsidRDefault="007E05F5" w:rsidP="007E0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F5">
        <w:rPr>
          <w:rFonts w:ascii="Times New Roman" w:eastAsia="Times New Roman" w:hAnsi="Times New Roman" w:cs="Times New Roman"/>
          <w:sz w:val="24"/>
          <w:szCs w:val="24"/>
        </w:rPr>
        <w:t>Uniform bulb shape with smooth skin</w:t>
      </w:r>
    </w:p>
    <w:p w:rsidR="007E05F5" w:rsidRPr="007E05F5" w:rsidRDefault="007E05F5" w:rsidP="007E0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F5">
        <w:rPr>
          <w:rFonts w:ascii="Times New Roman" w:eastAsia="Times New Roman" w:hAnsi="Times New Roman" w:cs="Times New Roman"/>
          <w:sz w:val="24"/>
          <w:szCs w:val="24"/>
        </w:rPr>
        <w:t>Average bulb weight: 120–150 grams</w:t>
      </w:r>
    </w:p>
    <w:p w:rsidR="007E05F5" w:rsidRPr="007E05F5" w:rsidRDefault="007E05F5" w:rsidP="007E0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F5">
        <w:rPr>
          <w:rFonts w:ascii="Times New Roman" w:eastAsia="Times New Roman" w:hAnsi="Times New Roman" w:cs="Times New Roman"/>
          <w:sz w:val="24"/>
          <w:szCs w:val="24"/>
        </w:rPr>
        <w:t>Matures in approximately 120 days after transplanting</w:t>
      </w:r>
    </w:p>
    <w:p w:rsidR="007E05F5" w:rsidRPr="007E05F5" w:rsidRDefault="007E05F5" w:rsidP="007E0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5F5">
        <w:rPr>
          <w:rFonts w:ascii="Times New Roman" w:eastAsia="Times New Roman" w:hAnsi="Times New Roman" w:cs="Times New Roman"/>
          <w:sz w:val="24"/>
          <w:szCs w:val="24"/>
        </w:rPr>
        <w:t>Strong yield performance: 22,500 to 30,000 kg per hectare</w:t>
      </w:r>
    </w:p>
    <w:p w:rsidR="00666263" w:rsidRDefault="00666263"/>
    <w:sectPr w:rsidR="006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81C69"/>
    <w:multiLevelType w:val="multilevel"/>
    <w:tmpl w:val="37F4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F5"/>
    <w:rsid w:val="00666263"/>
    <w:rsid w:val="007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AEE8-5F5D-4654-B442-166D7D5A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5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7E05F5"/>
  </w:style>
  <w:style w:type="paragraph" w:styleId="NormalWeb">
    <w:name w:val="Normal (Web)"/>
    <w:basedOn w:val="Normal"/>
    <w:uiPriority w:val="99"/>
    <w:semiHidden/>
    <w:unhideWhenUsed/>
    <w:rsid w:val="007E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2025-05-13T09:44:00Z</dcterms:created>
  <dcterms:modified xsi:type="dcterms:W3CDTF">2025-05-13T09:44:00Z</dcterms:modified>
</cp:coreProperties>
</file>