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WARDS AI Security Rules Reference</w:t>
      </w:r>
    </w:p>
    <w:p>
      <w:pPr/>
      <w:r>
        <w:t xml:space="preserve">Generated: 2026-06-04 07:31 Asia/Manila</w:t>
      </w:r>
    </w:p>
    <w:p>
      <w:pPr/>
      <w:r>
        <w:t xml:space="preserve">Coverage note: there is no single industry standard that gives a complete feature list for AI defacement models. This reference validates WARDS rules against MITRE ATT&amp;CK defacement and related web compromise techniques, with NIST SP 800-53, OWASP Logging, and Wazuh FIM used for audit, source-context, and file-integrity controls.</w:t>
      </w:r>
    </w:p>
    <w:p>
      <w:pPr>
        <w:pStyle w:val="Heading1"/>
      </w:pPr>
      <w:r>
        <w:t xml:space="preserve">AI Rule Table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pPr/>
            <w:r>
              <w:t xml:space="preserve">Rule key</w:t>
            </w:r>
          </w:p>
        </w:tc>
        <w:tc>
          <w:tcPr>
            <w:tcW w:w="2400" w:type="dxa"/>
          </w:tcPr>
          <w:p>
            <w:pPr/>
            <w:r>
              <w:t xml:space="preserve">Label</w:t>
            </w:r>
          </w:p>
        </w:tc>
        <w:tc>
          <w:tcPr>
            <w:tcW w:w="2400" w:type="dxa"/>
          </w:tcPr>
          <w:p>
            <w:pPr/>
            <w:r>
              <w:t xml:space="preserve">Type</w:t>
            </w:r>
          </w:p>
        </w:tc>
        <w:tc>
          <w:tcPr>
            <w:tcW w:w="2400" w:type="dxa"/>
          </w:tcPr>
          <w:p>
            <w:pPr/>
            <w:r>
              <w:t xml:space="preserve">Monitored factor</w:t>
            </w:r>
          </w:p>
        </w:tc>
        <w:tc>
          <w:tcPr>
            <w:tcW w:w="2400" w:type="dxa"/>
          </w:tcPr>
          <w:p>
            <w:pPr/>
            <w:r>
              <w:t xml:space="preserve">Standard / validation basis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hour_of_day</w:t>
            </w:r>
          </w:p>
        </w:tc>
        <w:tc>
          <w:tcPr>
            <w:tcW w:w="2400" w:type="dxa"/>
          </w:tcPr>
          <w:p>
            <w:pPr/>
            <w:r>
              <w:t xml:space="preserve">Hour of Day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Time the change was detected.</w:t>
            </w:r>
          </w:p>
        </w:tc>
        <w:tc>
          <w:tcPr>
            <w:tcW w:w="2400" w:type="dxa"/>
          </w:tcPr>
          <w:p>
            <w:pPr/>
            <w:r>
              <w:t xml:space="preserve">MITRE T1078/T1110 and OWASP logging: abnormal time-based account or change activity can indicate misuse. Validate with local operating hours.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day_of_week</w:t>
            </w:r>
          </w:p>
        </w:tc>
        <w:tc>
          <w:tcPr>
            <w:tcW w:w="2400" w:type="dxa"/>
          </w:tcPr>
          <w:p>
            <w:pPr/>
            <w:r>
              <w:t xml:space="preserve">Day of Week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Monday to Sunday behavior pattern.</w:t>
            </w:r>
          </w:p>
        </w:tc>
        <w:tc>
          <w:tcPr>
            <w:tcW w:w="2400" w:type="dxa"/>
          </w:tcPr>
          <w:p>
            <w:pPr/>
            <w:r>
              <w:t xml:space="preserve">MITRE T1078/T1110 and OWASP logging: unusual day-of-week activity supports account-abuse detection. Validate with business schedule.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session_duration</w:t>
            </w:r>
          </w:p>
        </w:tc>
        <w:tc>
          <w:tcPr>
            <w:tcW w:w="2400" w:type="dxa"/>
          </w:tcPr>
          <w:p>
            <w:pPr/>
            <w:r>
              <w:t xml:space="preserve">Session Duration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Estimated authenticated admin session age.</w:t>
            </w:r>
          </w:p>
        </w:tc>
        <w:tc>
          <w:tcPr>
            <w:tcW w:w="2400" w:type="dxa"/>
          </w:tcPr>
          <w:p>
            <w:pPr/>
            <w:r>
              <w:t xml:space="preserve">NIST SP 800-53 IA/AU control family and OWASP logging: session context supports accountability and anomaly detection.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file_size_change</w:t>
            </w:r>
          </w:p>
        </w:tc>
        <w:tc>
          <w:tcPr>
            <w:tcW w:w="2400" w:type="dxa"/>
          </w:tcPr>
          <w:p>
            <w:pPr/>
            <w:r>
              <w:t xml:space="preserve">File Size Change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Byte difference from the clean backup copy.</w:t>
            </w:r>
          </w:p>
        </w:tc>
        <w:tc>
          <w:tcPr>
            <w:tcW w:w="2400" w:type="dxa"/>
          </w:tcPr>
          <w:p>
            <w:pPr/>
            <w:r>
              <w:t xml:space="preserve">MITRE T1491 detection strategy: unauthorized web/application content modification; size deltas support FIM triage.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content_length</w:t>
            </w:r>
          </w:p>
        </w:tc>
        <w:tc>
          <w:tcPr>
            <w:tcW w:w="2400" w:type="dxa"/>
          </w:tcPr>
          <w:p>
            <w:pPr/>
            <w:r>
              <w:t xml:space="preserve">Content Length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New file length.</w:t>
            </w:r>
          </w:p>
        </w:tc>
        <w:tc>
          <w:tcPr>
            <w:tcW w:w="2400" w:type="dxa"/>
          </w:tcPr>
          <w:p>
            <w:pPr/>
            <w:r>
              <w:t xml:space="preserve">MITRE T1491 and Wazuh FIM: abnormal content length supports defacement/change-detection review.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special_chars_count</w:t>
            </w:r>
          </w:p>
        </w:tc>
        <w:tc>
          <w:tcPr>
            <w:tcW w:w="2400" w:type="dxa"/>
          </w:tcPr>
          <w:p>
            <w:pPr/>
            <w:r>
              <w:t xml:space="preserve">Special Characters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Count of code-like or injection-friendly characters.</w:t>
            </w:r>
          </w:p>
        </w:tc>
        <w:tc>
          <w:tcPr>
            <w:tcW w:w="2400" w:type="dxa"/>
          </w:tcPr>
          <w:p>
            <w:pPr/>
            <w:r>
              <w:t xml:space="preserve">MITRE T1491/T1505.003: code-like character bursts can indicate script injection or web shell content.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admin_session_valid</w:t>
            </w:r>
          </w:p>
        </w:tc>
        <w:tc>
          <w:tcPr>
            <w:tcW w:w="2400" w:type="dxa"/>
          </w:tcPr>
          <w:p>
            <w:pPr/>
            <w:r>
              <w:t xml:space="preserve">Admin Session Valid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Whether a WARDS admin JWT/MFA session was present.</w:t>
            </w:r>
          </w:p>
        </w:tc>
        <w:tc>
          <w:tcPr>
            <w:tcW w:w="2400" w:type="dxa"/>
          </w:tcPr>
          <w:p>
            <w:pPr/>
            <w:r>
              <w:t xml:space="preserve">MITRE T1078 and NIST AU/IA controls: valid account context is necessary to distinguish authorized from unauthorized changes.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ip_consistent</w:t>
            </w:r>
          </w:p>
        </w:tc>
        <w:tc>
          <w:tcPr>
            <w:tcW w:w="2400" w:type="dxa"/>
          </w:tcPr>
          <w:p>
            <w:pPr/>
            <w:r>
              <w:t xml:space="preserve">IP Consistency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Whether source looks consistent with normal admin use.</w:t>
            </w:r>
          </w:p>
        </w:tc>
        <w:tc>
          <w:tcPr>
            <w:tcW w:w="2400" w:type="dxa"/>
          </w:tcPr>
          <w:p>
            <w:pPr/>
            <w:r>
              <w:t xml:space="preserve">OWASP logging recommends source address capture; MITRE T1078/T1110 support detecting anomalous source patterns.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source_ip_reputation</w:t>
            </w:r>
          </w:p>
        </w:tc>
        <w:tc>
          <w:tcPr>
            <w:tcW w:w="2400" w:type="dxa"/>
          </w:tcPr>
          <w:p>
            <w:pPr/>
            <w:r>
              <w:t xml:space="preserve">Source IP Reputation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Whether source IP reputation or blocklist signals look suspicious.</w:t>
            </w:r>
          </w:p>
        </w:tc>
        <w:tc>
          <w:tcPr>
            <w:tcW w:w="2400" w:type="dxa"/>
          </w:tcPr>
          <w:p>
            <w:pPr/>
            <w:r>
              <w:t xml:space="preserve">OWASP logging source address plus MITRE T1110/T1078: blocklist/reputation signals are supporting indicators, not standalone proof.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keystroke_dynamics</w:t>
            </w:r>
          </w:p>
        </w:tc>
        <w:tc>
          <w:tcPr>
            <w:tcW w:w="2400" w:type="dxa"/>
          </w:tcPr>
          <w:p>
            <w:pPr/>
            <w:r>
              <w:t xml:space="preserve">Keystroke Dynamics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Uses aggregate typing-pattern anomaly signals when available.</w:t>
            </w:r>
          </w:p>
        </w:tc>
        <w:tc>
          <w:tcPr>
            <w:tcW w:w="2400" w:type="dxa"/>
          </w:tcPr>
          <w:p>
            <w:pPr/>
            <w:r>
              <w:t xml:space="preserve">Behavioral identity signal used only as supporting context. Not a defacement-content standard; validate under privacy and acceptable-use policy.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method_legitimate</w:t>
            </w:r>
          </w:p>
        </w:tc>
        <w:tc>
          <w:tcPr>
            <w:tcW w:w="2400" w:type="dxa"/>
          </w:tcPr>
          <w:p>
            <w:pPr/>
            <w:r>
              <w:t xml:space="preserve">Legitimate Method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Whether change came through an approved admin workflow.</w:t>
            </w:r>
          </w:p>
        </w:tc>
        <w:tc>
          <w:tcPr>
            <w:tcW w:w="2400" w:type="dxa"/>
          </w:tcPr>
          <w:p>
            <w:pPr/>
            <w:r>
              <w:t xml:space="preserve">NIST AU accountability and MITRE T1491: approved workflow context helps separate legitimate content changes from unauthorized modification.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business_hours</w:t>
            </w:r>
          </w:p>
        </w:tc>
        <w:tc>
          <w:tcPr>
            <w:tcW w:w="2400" w:type="dxa"/>
          </w:tcPr>
          <w:p>
            <w:pPr/>
            <w:r>
              <w:t xml:space="preserve">Business Hours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Whether change happened during normal working hours.</w:t>
            </w:r>
          </w:p>
        </w:tc>
        <w:tc>
          <w:tcPr>
            <w:tcW w:w="2400" w:type="dxa"/>
          </w:tcPr>
          <w:p>
            <w:pPr/>
            <w:r>
              <w:t xml:space="preserve">OWASP logging and MITRE T1078: time-of-change context supports anomaly scoring.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file_type_risk</w:t>
            </w:r>
          </w:p>
        </w:tc>
        <w:tc>
          <w:tcPr>
            <w:tcW w:w="2400" w:type="dxa"/>
          </w:tcPr>
          <w:p>
            <w:pPr/>
            <w:r>
              <w:t xml:space="preserve">File Type Risk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Risk weight for web/code files.</w:t>
            </w:r>
          </w:p>
        </w:tc>
        <w:tc>
          <w:tcPr>
            <w:tcW w:w="2400" w:type="dxa"/>
          </w:tcPr>
          <w:p>
            <w:pPr/>
            <w:r>
              <w:t xml:space="preserve">MITRE T1491/T1505.003 and Wazuh FIM: web, script, config, and executable-adjacent files have higher defacement impact.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suspicious_pattern_score</w:t>
            </w:r>
          </w:p>
        </w:tc>
        <w:tc>
          <w:tcPr>
            <w:tcW w:w="2400" w:type="dxa"/>
          </w:tcPr>
          <w:p>
            <w:pPr/>
            <w:r>
              <w:t xml:space="preserve">Suspicious Pattern Score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Defacement/injection pattern score.</w:t>
            </w:r>
          </w:p>
        </w:tc>
        <w:tc>
          <w:tcPr>
            <w:tcW w:w="2400" w:type="dxa"/>
          </w:tcPr>
          <w:p>
            <w:pPr/>
            <w:r>
              <w:t xml:space="preserve">MITRE T1491 detection strategy and T1505.003: script injection, credential-like content, and defacement wording are direct indicators.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vpn_activity</w:t>
            </w:r>
          </w:p>
        </w:tc>
        <w:tc>
          <w:tcPr>
            <w:tcW w:w="2400" w:type="dxa"/>
          </w:tcPr>
          <w:p>
            <w:pPr/>
            <w:r>
              <w:t xml:space="preserve">VPN Activity</w:t>
            </w:r>
          </w:p>
        </w:tc>
        <w:tc>
          <w:tcPr>
            <w:tcW w:w="2400" w:type="dxa"/>
          </w:tcPr>
          <w:p>
            <w:pPr/>
            <w:r>
              <w:t xml:space="preserve">Default AI rule</w:t>
            </w:r>
          </w:p>
        </w:tc>
        <w:tc>
          <w:tcPr>
            <w:tcW w:w="2400" w:type="dxa"/>
          </w:tcPr>
          <w:p>
            <w:pPr/>
            <w:r>
              <w:t xml:space="preserve">Raises risk but does not automatically mark malicious.</w:t>
            </w:r>
          </w:p>
        </w:tc>
        <w:tc>
          <w:tcPr>
            <w:tcW w:w="2400" w:type="dxa"/>
          </w:tcPr>
          <w:p>
            <w:pPr/>
            <w:r>
              <w:t xml:space="preserve">MITRE T1078/T1110 and OWASP logging: VPN/proxy source context can raise risk when combined with other anomalies.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ransom_note_keywords</w:t>
            </w:r>
          </w:p>
        </w:tc>
        <w:tc>
          <w:tcPr>
            <w:tcW w:w="2400" w:type="dxa"/>
          </w:tcPr>
          <w:p>
            <w:pPr/>
            <w:r>
              <w:t xml:space="preserve">Ransom Note Wording</w:t>
            </w:r>
          </w:p>
        </w:tc>
        <w:tc>
          <w:tcPr>
            <w:tcW w:w="2400" w:type="dxa"/>
          </w:tcPr>
          <w:p>
            <w:pPr/>
            <w:r>
              <w:t xml:space="preserve">Add AI rule option</w:t>
            </w:r>
          </w:p>
        </w:tc>
        <w:tc>
          <w:tcPr>
            <w:tcW w:w="2400" w:type="dxa"/>
          </w:tcPr>
          <w:p>
            <w:pPr/>
            <w:r>
              <w:t xml:space="preserve">Detects ransom/extortion wording commonly used in defacement pages.</w:t>
            </w:r>
          </w:p>
        </w:tc>
        <w:tc>
          <w:tcPr>
            <w:tcW w:w="2400" w:type="dxa"/>
          </w:tcPr>
          <w:p>
            <w:pPr/>
            <w:r>
              <w:t xml:space="preserve">MITRE T1491 Impact: adversaries may alter visible content to intimidate or claim credit.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malicious_redirect</w:t>
            </w:r>
          </w:p>
        </w:tc>
        <w:tc>
          <w:tcPr>
            <w:tcW w:w="2400" w:type="dxa"/>
          </w:tcPr>
          <w:p>
            <w:pPr/>
            <w:r>
              <w:t xml:space="preserve">Malicious Redirect</w:t>
            </w:r>
          </w:p>
        </w:tc>
        <w:tc>
          <w:tcPr>
            <w:tcW w:w="2400" w:type="dxa"/>
          </w:tcPr>
          <w:p>
            <w:pPr/>
            <w:r>
              <w:t xml:space="preserve">Add AI rule option</w:t>
            </w:r>
          </w:p>
        </w:tc>
        <w:tc>
          <w:tcPr>
            <w:tcW w:w="2400" w:type="dxa"/>
          </w:tcPr>
          <w:p>
            <w:pPr/>
            <w:r>
              <w:t xml:space="preserve">Detects forced redirects away from WARDS pages.</w:t>
            </w:r>
          </w:p>
        </w:tc>
        <w:tc>
          <w:tcPr>
            <w:tcW w:w="2400" w:type="dxa"/>
          </w:tcPr>
          <w:p>
            <w:pPr/>
            <w:r>
              <w:t xml:space="preserve">MITRE T1491 detection strategy: unauthorized hosted-content changes and script injections can redirect users.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destructive_script</w:t>
            </w:r>
          </w:p>
        </w:tc>
        <w:tc>
          <w:tcPr>
            <w:tcW w:w="2400" w:type="dxa"/>
          </w:tcPr>
          <w:p>
            <w:pPr/>
            <w:r>
              <w:t xml:space="preserve">Destructive Browser Script</w:t>
            </w:r>
          </w:p>
        </w:tc>
        <w:tc>
          <w:tcPr>
            <w:tcW w:w="2400" w:type="dxa"/>
          </w:tcPr>
          <w:p>
            <w:pPr/>
            <w:r>
              <w:t xml:space="preserve">Add AI rule option</w:t>
            </w:r>
          </w:p>
        </w:tc>
        <w:tc>
          <w:tcPr>
            <w:tcW w:w="2400" w:type="dxa"/>
          </w:tcPr>
          <w:p>
            <w:pPr/>
            <w:r>
              <w:t xml:space="preserve">Detects browser-side destructive or disruptive script patterns.</w:t>
            </w:r>
          </w:p>
        </w:tc>
        <w:tc>
          <w:tcPr>
            <w:tcW w:w="2400" w:type="dxa"/>
          </w:tcPr>
          <w:p>
            <w:pPr/>
            <w:r>
              <w:t xml:space="preserve">MITRE T1491/T1059-style scripting behavior: destructive client-side changes can disrupt site integrity.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phishing_form</w:t>
            </w:r>
          </w:p>
        </w:tc>
        <w:tc>
          <w:tcPr>
            <w:tcW w:w="2400" w:type="dxa"/>
          </w:tcPr>
          <w:p>
            <w:pPr/>
            <w:r>
              <w:t xml:space="preserve">Phishing Wording</w:t>
            </w:r>
          </w:p>
        </w:tc>
        <w:tc>
          <w:tcPr>
            <w:tcW w:w="2400" w:type="dxa"/>
          </w:tcPr>
          <w:p>
            <w:pPr/>
            <w:r>
              <w:t xml:space="preserve">Add AI rule option</w:t>
            </w:r>
          </w:p>
        </w:tc>
        <w:tc>
          <w:tcPr>
            <w:tcW w:w="2400" w:type="dxa"/>
          </w:tcPr>
          <w:p>
            <w:pPr/>
            <w:r>
              <w:t xml:space="preserve">Detects fake login and account-warning wording.</w:t>
            </w:r>
          </w:p>
        </w:tc>
        <w:tc>
          <w:tcPr>
            <w:tcW w:w="2400" w:type="dxa"/>
          </w:tcPr>
          <w:p>
            <w:pPr/>
            <w:r>
              <w:t xml:space="preserve">MITRE T1491 plus credential-access patterns: fake login/account-warning content can replace legitimate pages.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style_takeover</w:t>
            </w:r>
          </w:p>
        </w:tc>
        <w:tc>
          <w:tcPr>
            <w:tcW w:w="2400" w:type="dxa"/>
          </w:tcPr>
          <w:p>
            <w:pPr/>
            <w:r>
              <w:t xml:space="preserve">Visual Style Takeover</w:t>
            </w:r>
          </w:p>
        </w:tc>
        <w:tc>
          <w:tcPr>
            <w:tcW w:w="2400" w:type="dxa"/>
          </w:tcPr>
          <w:p>
            <w:pPr/>
            <w:r>
              <w:t xml:space="preserve">Add AI rule option</w:t>
            </w:r>
          </w:p>
        </w:tc>
        <w:tc>
          <w:tcPr>
            <w:tcW w:w="2400" w:type="dxa"/>
          </w:tcPr>
          <w:p>
            <w:pPr/>
            <w:r>
              <w:t xml:space="preserve">Detects aggressive CSS overlays that obscure the legitimate WARDS UI.</w:t>
            </w:r>
          </w:p>
        </w:tc>
        <w:tc>
          <w:tcPr>
            <w:tcW w:w="2400" w:type="dxa"/>
          </w:tcPr>
          <w:p>
            <w:pPr/>
            <w:r>
              <w:t xml:space="preserve">MITRE T1491: visual content modification and overlays can obscure the original site.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unauthorized_admin_path</w:t>
            </w:r>
          </w:p>
        </w:tc>
        <w:tc>
          <w:tcPr>
            <w:tcW w:w="2400" w:type="dxa"/>
          </w:tcPr>
          <w:p>
            <w:pPr/>
            <w:r>
              <w:t xml:space="preserve">Unauthorized Admin Path</w:t>
            </w:r>
          </w:p>
        </w:tc>
        <w:tc>
          <w:tcPr>
            <w:tcW w:w="2400" w:type="dxa"/>
          </w:tcPr>
          <w:p>
            <w:pPr/>
            <w:r>
              <w:t xml:space="preserve">Add AI rule option</w:t>
            </w:r>
          </w:p>
        </w:tc>
        <w:tc>
          <w:tcPr>
            <w:tcW w:w="2400" w:type="dxa"/>
          </w:tcPr>
          <w:p>
            <w:pPr/>
            <w:r>
              <w:t xml:space="preserve">Raises risk when admin, auth, MFA, backup, recovery, or security-dashboard files change outside approved workflows.</w:t>
            </w:r>
          </w:p>
        </w:tc>
        <w:tc>
          <w:tcPr>
            <w:tcW w:w="2400" w:type="dxa"/>
          </w:tcPr>
          <w:p>
            <w:pPr/>
            <w:r>
              <w:t xml:space="preserve">NIST AU/CM accountability plus MITRE T1491: admin, auth, backup, and recovery code changes require stricter validation.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sensitive_config_change</w:t>
            </w:r>
          </w:p>
        </w:tc>
        <w:tc>
          <w:tcPr>
            <w:tcW w:w="2400" w:type="dxa"/>
          </w:tcPr>
          <w:p>
            <w:pPr/>
            <w:r>
              <w:t xml:space="preserve">Sensitive Config Change</w:t>
            </w:r>
          </w:p>
        </w:tc>
        <w:tc>
          <w:tcPr>
            <w:tcW w:w="2400" w:type="dxa"/>
          </w:tcPr>
          <w:p>
            <w:pPr/>
            <w:r>
              <w:t xml:space="preserve">Add AI rule option</w:t>
            </w:r>
          </w:p>
        </w:tc>
        <w:tc>
          <w:tcPr>
            <w:tcW w:w="2400" w:type="dxa"/>
          </w:tcPr>
          <w:p>
            <w:pPr/>
            <w:r>
              <w:t xml:space="preserve">Raises risk for environment, Wazuh, dependency, and database configuration changes.</w:t>
            </w:r>
          </w:p>
        </w:tc>
        <w:tc>
          <w:tcPr>
            <w:tcW w:w="2400" w:type="dxa"/>
          </w:tcPr>
          <w:p>
            <w:pPr/>
            <w:r>
              <w:t xml:space="preserve">NIST SI-7/CM controls and Wazuh FIM: environment, dependency, database, and syscheck config changes need integrity monitoring.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external_resource_injection</w:t>
            </w:r>
          </w:p>
        </w:tc>
        <w:tc>
          <w:tcPr>
            <w:tcW w:w="2400" w:type="dxa"/>
          </w:tcPr>
          <w:p>
            <w:pPr/>
            <w:r>
              <w:t xml:space="preserve">External Resource Injection</w:t>
            </w:r>
          </w:p>
        </w:tc>
        <w:tc>
          <w:tcPr>
            <w:tcW w:w="2400" w:type="dxa"/>
          </w:tcPr>
          <w:p>
            <w:pPr/>
            <w:r>
              <w:t xml:space="preserve">Add AI rule option</w:t>
            </w:r>
          </w:p>
        </w:tc>
        <w:tc>
          <w:tcPr>
            <w:tcW w:w="2400" w:type="dxa"/>
          </w:tcPr>
          <w:p>
            <w:pPr/>
            <w:r>
              <w:t xml:space="preserve">Detects newly added external script, stylesheet, link, or network-fetch references.</w:t>
            </w:r>
          </w:p>
        </w:tc>
        <w:tc>
          <w:tcPr>
            <w:tcW w:w="2400" w:type="dxa"/>
          </w:tcPr>
          <w:p>
            <w:pPr/>
            <w:r>
              <w:t xml:space="preserve">MITRE T1491 detection strategy: unauthorized script/resource injection can alter hosted content or exfiltrate data.</w:t>
            </w:r>
          </w:p>
        </w:tc>
      </w:tr>
    </w:tbl>
    <w:p>
      <w:pPr>
        <w:pStyle w:val="Heading1"/>
      </w:pPr>
      <w:r>
        <w:t xml:space="preserve">References</w:t>
      </w:r>
    </w:p>
    <w:p>
      <w:pPr/>
      <w:r>
        <w:t xml:space="preserve">MITRE ATT&amp;CK T1491 Defacement: https://attack.mitre.org/techniques/T1491/</w:t>
      </w:r>
    </w:p>
    <w:p>
      <w:pPr/>
      <w:r>
        <w:t xml:space="preserve">MITRE ATT&amp;CK T1505.003 Web Shell: https://attack.mitre.org/techniques/T1505/003/</w:t>
      </w:r>
    </w:p>
    <w:p>
      <w:pPr/>
      <w:r>
        <w:t xml:space="preserve">MITRE ATT&amp;CK T1078 Valid Accounts: https://attack.mitre.org/techniques/T1078/</w:t>
      </w:r>
    </w:p>
    <w:p>
      <w:pPr/>
      <w:r>
        <w:t xml:space="preserve">MITRE ATT&amp;CK T1110 Brute Force: https://attack.mitre.org/techniques/T1110/</w:t>
      </w:r>
    </w:p>
    <w:p>
      <w:pPr/>
      <w:r>
        <w:t xml:space="preserve">NIST SP 800-53 Rev. 5: https://csrc.nist.gov/Pubs/sp/800/53/r5/upd1/Final</w:t>
      </w:r>
    </w:p>
    <w:p>
      <w:pPr/>
      <w:r>
        <w:t xml:space="preserve">OWASP Logging Cheat Sheet: https://cheatsheetseries.owasp.org/cheatsheets/Logging_Cheat_Sheet.html</w:t>
      </w:r>
    </w:p>
    <w:p>
      <w:pPr/>
      <w:r>
        <w:t xml:space="preserve">Wazuh syscheck/FIM configuration: https://documentation.wazuh.com/current/user-manual/reference/ossec-conf/syscheck.html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