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biomol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06/10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BMOL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Beerlanbère---&gt;Beer-Lambert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(page 18)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est plus sûr---&gt; On n’est plus sur (page22)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NB: les questions posées au prof et les réponses ne sont absolument pas à apprendre. Voici des images pour s’aider si vous voulez comprendre: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UE PL 2.18 BMOL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13/10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BMOL4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CHR array —&gt; CGH array (page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19/10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BMOL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Page 18 : coefficient d’extraction moléculaire =&gt; coefficient d’extinction molaire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21/11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BMOL 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Page 8: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levures, CHO et cellules mammifères sont des eucaryotes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mnZEmWYQfLNEZ7xhPf5geJBTDAFV3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