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BEMN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60"/>
        <w:gridCol w:w="6270"/>
        <w:tblGridChange w:id="0">
          <w:tblGrid>
            <w:gridCol w:w="118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BEMN 19-20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4 : le paragraphe en rouge n’est pas super important, ne faites pas attention à la couleur.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BEMN 17-18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6 : “l’eau va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 l’extérieur vers l’intérieur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l’éponge en passant par les pores inhalants”.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19/11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BEMN 17-18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PAGE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 : Pour les Démosponges on retrouve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sponGINE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 non pas la spongille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(qui est un genre d’éponge)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PAGE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 : Triblastiques (pas trigastriques) / puis “Lophotrochozoaires” à la place de “Protozoaires”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tabs>
                <w:tab w:val="left" w:leader="none" w:pos="992.125984251968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30/11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BEMN 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24: les plantes monoïque il y en a bcp moins dans l’hémisphère nord -&gt; FAUX, il y en a bcp plus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32 : J. virgina -&gt; FAUX, c’est J.virgiana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BEMN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8 : vinelbine -&gt; vinorelbine 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8 : If pacifique -&gt; If d’Europe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BEMN 13-14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3 : scaficiation FAUX mais sclérification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5 : faisceaux de xylème centrifuge faisceaux de phloème centrifuge FAUX c’est faisceaux de phloème centripète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19/12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BEMN 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Page 9 spore flagellé (dont 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mildiou)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